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8640"/>
      </w:tblGrid>
      <w:tr>
        <w:tc>
          <w:tcPr>
            <w:tcW w:type="dxa" w:w="8640"/>
            <w:shd w:val="clear" w:color="auto" w:fill="0A192F"/>
            <w:tcBorders>
              <w:top w:val="single" w:sz="0" w:space="0" w:color="0A192F"/>
              <w:left w:val="single" w:sz="0" w:space="0" w:color="0A192F"/>
              <w:bottom w:val="single" w:sz="0" w:space="0" w:color="0A192F"/>
              <w:right w:val="single" w:sz="0" w:space="0" w:color="0A192F"/>
            </w:tcBorders>
          </w:tcPr>
          <w:p>
            <w:r>
              <w:rPr>
                <w:sz w:val="32"/>
              </w:rPr>
              <w:t xml:space="preserve">  </w:t>
            </w:r>
          </w:p>
        </w:tc>
      </w:tr>
    </w:tbl>
    <w:tbl>
      <w:tblPr>
        <w:tblW w:type="auto" w:w="0"/>
        <w:tblLook w:firstColumn="1" w:firstRow="1" w:lastColumn="0" w:lastRow="0" w:noHBand="0" w:noVBand="1" w:val="04A0"/>
      </w:tblPr>
      <w:tblGrid>
        <w:gridCol w:w="8640"/>
      </w:tblGrid>
      <w:tr>
        <w:tc>
          <w:tcPr>
            <w:tcW w:type="dxa" w:w="8640"/>
            <w:shd w:val="clear" w:color="auto" w:fill="B8956B"/>
            <w:tcBorders>
              <w:top w:val="single" w:sz="0" w:space="0" w:color="B8956B"/>
              <w:left w:val="single" w:sz="0" w:space="0" w:color="B8956B"/>
              <w:bottom w:val="single" w:sz="0" w:space="0" w:color="B8956B"/>
              <w:right w:val="single" w:sz="0" w:space="0" w:color="B8956B"/>
            </w:tcBorders>
          </w:tcPr>
          <w:p>
            <w:r>
              <w:rPr>
                <w:sz w:val="6"/>
              </w:rPr>
              <w:t xml:space="preserve"> </w:t>
            </w:r>
          </w:p>
        </w:tc>
      </w:tr>
    </w:tbl>
    <w:p/>
    <w:p/>
    <w:p/>
    <w:p>
      <w:pPr>
        <w:spacing w:after="160"/>
        <w:jc w:val="left"/>
      </w:pPr>
      <w:r>
        <w:rPr>
          <w:rFonts w:ascii="Calibri" w:hAnsi="Calibri"/>
          <w:b/>
          <w:color w:val="B8956B"/>
          <w:sz w:val="18"/>
        </w:rPr>
        <w:t>PROPOSAL</w:t>
      </w:r>
    </w:p>
    <w:p>
      <w:pPr>
        <w:spacing w:after="200"/>
        <w:jc w:val="left"/>
        <w:bidi w:val="1"/>
      </w:pPr>
      <w:r>
        <w:rPr>
          <w:rFonts w:ascii="Calibri" w:hAnsi="Calibri"/>
          <w:b/>
          <w:color w:val="0A192F"/>
          <w:sz w:val="56"/>
          <w:rtl w:val="1"/>
        </w:rPr>
        <w:t>التصور المقترح للمنصة الوطنية لإدارة ومكافحة الرسائل الاقتحامية</w:t>
      </w:r>
    </w:p>
    <w:p>
      <w:pPr>
        <w:pBdr>
          <w:bottom w:val="single" w:sz="18" w:space="1" w:color="B8956B"/>
        </w:pBdr>
        <w:spacing w:after="280"/>
      </w:pPr>
    </w:p>
    <w:p>
      <w:pPr>
        <w:spacing w:after="360"/>
        <w:jc w:val="left"/>
        <w:bidi w:val="1"/>
      </w:pPr>
      <w:r>
        <w:rPr>
          <w:rFonts w:ascii="Calibri" w:hAnsi="Calibri"/>
          <w:color w:val="1B3A5F"/>
          <w:sz w:val="26"/>
          <w:rtl w:val="1"/>
        </w:rPr>
        <w:t>Oman Anti-SPAM Platform · هيئة تنظيم الاتصالات – سلطنة عُمان · تصور أولي للتصميم · أغسطس 2026</w:t>
      </w:r>
    </w:p>
    <w:tbl>
      <w:tblPr>
        <w:tblW w:type="auto" w:w="0"/>
        <w:tblLook w:firstColumn="1" w:firstRow="1" w:lastColumn="0" w:lastRow="0" w:noHBand="0" w:noVBand="1" w:val="04A0"/>
      </w:tblPr>
      <w:tblGrid>
        <w:gridCol w:w="2880"/>
        <w:gridCol w:w="2880"/>
        <w:gridCol w:w="2880"/>
      </w:tblGrid>
      <w:tr>
        <w:tc>
          <w:tcPr>
            <w:tcW w:type="dxa" w:w="2880"/>
            <w:shd w:val="clear" w:color="auto" w:fill="F7F5F0"/>
            <w:tcBorders>
              <w:top w:val="single" w:sz="4" w:space="0" w:color="E8E2D9"/>
              <w:left w:val="single" w:sz="4" w:space="0" w:color="E8E2D9"/>
              <w:bottom w:val="single" w:sz="4" w:space="0" w:color="E8E2D9"/>
              <w:right w:val="single" w:sz="4" w:space="0" w:color="E8E2D9"/>
            </w:tcBorders>
          </w:tcPr>
          <w:p>
            <w:r/>
            <w:r>
              <w:rPr>
                <w:rFonts w:ascii="Calibri" w:hAnsi="Calibri"/>
                <w:b/>
                <w:color w:val="B8956B"/>
                <w:sz w:val="16"/>
              </w:rPr>
              <w:t>PREPARED BY</w:t>
            </w:r>
          </w:p>
          <w:p>
            <w:pPr>
              <w:jc w:val="right"/>
              <w:bidi w:val="1"/>
            </w:pPr>
            <w:r>
              <w:rPr>
                <w:rFonts w:ascii="Calibri" w:hAnsi="Calibri"/>
                <w:color w:val="0A192F"/>
                <w:sz w:val="22"/>
              </w:rPr>
              <w:t>هيئة تنظيم الاتصالات – سلطنة عُمان</w:t>
            </w:r>
          </w:p>
        </w:tc>
        <w:tc>
          <w:tcPr>
            <w:tcW w:type="dxa" w:w="2880"/>
            <w:shd w:val="clear" w:color="auto" w:fill="F7F5F0"/>
            <w:tcBorders>
              <w:top w:val="single" w:sz="4" w:space="0" w:color="E8E2D9"/>
              <w:left w:val="single" w:sz="4" w:space="0" w:color="E8E2D9"/>
              <w:bottom w:val="single" w:sz="4" w:space="0" w:color="E8E2D9"/>
              <w:right w:val="single" w:sz="4" w:space="0" w:color="E8E2D9"/>
            </w:tcBorders>
          </w:tcPr>
          <w:p>
            <w:r/>
            <w:r>
              <w:rPr>
                <w:rFonts w:ascii="Calibri" w:hAnsi="Calibri"/>
                <w:b/>
                <w:color w:val="B8956B"/>
                <w:sz w:val="16"/>
              </w:rPr>
              <w:t>DATE</w:t>
            </w:r>
          </w:p>
          <w:p>
            <w:r>
              <w:rPr>
                <w:rFonts w:ascii="Calibri" w:hAnsi="Calibri"/>
                <w:color w:val="0A192F"/>
                <w:sz w:val="22"/>
              </w:rPr>
              <w:t>2026-08-11</w:t>
            </w:r>
          </w:p>
        </w:tc>
        <w:tc>
          <w:tcPr>
            <w:tcW w:type="dxa" w:w="2880"/>
            <w:shd w:val="clear" w:color="auto" w:fill="F7F5F0"/>
            <w:tcBorders>
              <w:top w:val="single" w:sz="4" w:space="0" w:color="E8E2D9"/>
              <w:left w:val="single" w:sz="4" w:space="0" w:color="E8E2D9"/>
              <w:bottom w:val="single" w:sz="4" w:space="0" w:color="E8E2D9"/>
              <w:right w:val="single" w:sz="4" w:space="0" w:color="E8E2D9"/>
            </w:tcBorders>
          </w:tcPr>
          <w:p>
            <w:r/>
            <w:r>
              <w:rPr>
                <w:rFonts w:ascii="Calibri" w:hAnsi="Calibri"/>
                <w:b/>
                <w:color w:val="B8956B"/>
                <w:sz w:val="16"/>
              </w:rPr>
              <w:t>STATUS</w:t>
            </w:r>
          </w:p>
          <w:p>
            <w:r>
              <w:rPr>
                <w:rFonts w:ascii="Calibri" w:hAnsi="Calibri"/>
                <w:color w:val="0A192F"/>
                <w:sz w:val="22"/>
              </w:rPr>
              <w:t>Confidential</w:t>
            </w:r>
          </w:p>
        </w:tc>
      </w:tr>
    </w:tbl>
    <w:p>
      <w:pPr>
        <w:spacing w:before="480"/>
      </w:pPr>
    </w:p>
    <w:p>
      <w:r>
        <w:br w:type="page"/>
      </w:r>
    </w:p>
    <w:p>
      <w:pPr>
        <w:pStyle w:val="Heading1"/>
        <w:spacing w:before="360" w:after="160"/>
        <w:jc w:val="right"/>
        <w:keepNext/>
        <w:bidi w:val="1"/>
        <w:pBdr>
          <w:bottom w:val="single" w:sz="12" w:space="6" w:color="B8956B"/>
        </w:pBdr>
      </w:pPr>
      <w:r>
        <w:rPr>
          <w:rFonts w:ascii="Calibri" w:hAnsi="Calibri"/>
          <w:b/>
          <w:color w:val="0A192F"/>
          <w:sz w:val="44"/>
          <w:rtl w:val="1"/>
        </w:rPr>
        <w:t>1. الملخص التنفيذي</w:t>
      </w:r>
    </w:p>
    <w:p>
      <w:pPr>
        <w:spacing w:after="160" w:line="276" w:lineRule="auto"/>
        <w:jc w:val="right"/>
        <w:bidi w:val="1"/>
      </w:pPr>
      <w:r>
        <w:rPr>
          <w:rFonts w:ascii="Calibri" w:hAnsi="Calibri"/>
          <w:color w:val="1A202C"/>
          <w:sz w:val="22"/>
          <w:rtl w:val="1"/>
        </w:rPr>
        <w:t>تُقدَّم هذه الوثيقة كتصوّر متكامل للمنصة الوطنية لإدارة ومكافحة الرسائل الاقتحامية (Oman Anti-SPAM Platform)؛ وهي منصة رقمية مركزية تهدف إلى تحويل التعامل مع الرسائل الاقتحامية من نموذج «شكوى فردية بعد وقوع المخالفة» إلى نموذج «رصد وتحليل ومنع وإنفاذ تنظيمي قائم على البيانات».</w:t>
      </w:r>
    </w:p>
    <w:p>
      <w:pPr>
        <w:spacing w:after="160" w:line="276" w:lineRule="auto"/>
        <w:jc w:val="right"/>
        <w:bidi w:val="1"/>
      </w:pPr>
      <w:r>
        <w:rPr>
          <w:rFonts w:ascii="Calibri" w:hAnsi="Calibri"/>
          <w:color w:val="1A202C"/>
          <w:sz w:val="22"/>
          <w:rtl w:val="1"/>
        </w:rPr>
        <w:t>تجمع المنصة بيانات الرسائل والبلاغات والموافقات وطلبات الإلغاء ومصادر الإرسال، ثم تحلّلها وتصنّفها وتربطها بالجهة المسؤولة، بما يمكّن الهيئة من استقبال البلاغات، والتحقق من مصادر الرسائل، وتسجيل موافقة المنتفع أو عدم وجودها، وتسجيل طلبات إيقاف الرسائل، ورصد الرسائل المستمرة بعد الإيقاف، وتحديد الجهة المستفيدة فعلياً من الحملة، وتصنيف المخالفات، واحتساب درجة خطورة لكل مصدر، وإصدار التنبيهات، ومتابعة التحقيقات، وإنشاء قائمة حظر مركزية، وتوفير مؤشرات وتقارير لصنّاع القرار.</w:t>
      </w:r>
    </w:p>
    <w:tbl>
      <w:tblPr>
        <w:tblW w:type="auto" w:w="0"/>
        <w:tblLook w:firstColumn="1" w:firstRow="1" w:lastColumn="0" w:lastRow="0" w:noHBand="0" w:noVBand="1" w:val="04A0"/>
      </w:tblPr>
      <w:tblGrid>
        <w:gridCol w:w="8640"/>
      </w:tblGrid>
      <w:tr>
        <w:tc>
          <w:tcPr>
            <w:tcW w:type="dxa" w:w="8640"/>
            <w:shd w:val="clear" w:color="auto" w:fill="F7F5F0"/>
            <w:tcBorders>
              <w:top w:val="single" w:sz="4" w:space="0" w:color="F7F5F0"/>
              <w:left w:val="single" w:sz="24" w:space="0" w:color="B8956B"/>
              <w:bottom w:val="single" w:sz="4" w:space="0" w:color="F7F5F0"/>
              <w:right w:val="single" w:sz="4" w:space="0" w:color="F7F5F0"/>
            </w:tcBorders>
          </w:tcPr>
          <w:p>
            <w:pPr>
              <w:spacing w:before="120" w:after="120"/>
              <w:jc w:val="right"/>
              <w:bidi w:val="1"/>
            </w:pPr>
            <w:r>
              <w:rPr>
                <w:rFonts w:ascii="Calibri" w:hAnsi="Calibri"/>
                <w:b/>
                <w:color w:val="B8956B"/>
                <w:sz w:val="18"/>
              </w:rPr>
              <w:t xml:space="preserve">INFO  </w:t>
            </w:r>
            <w:r>
              <w:rPr>
                <w:rFonts w:ascii="Calibri" w:hAnsi="Calibri"/>
                <w:color w:val="1A202C"/>
                <w:sz w:val="20"/>
                <w:rtl w:val="1"/>
              </w:rPr>
              <w:t>الاسم المقترح للمشروع: المنصة الوطنية لإدارة ومكافحة الرسائل الاقتحامية – Oman Anti-SPAM Platform</w:t>
            </w:r>
          </w:p>
        </w:tc>
      </w:tr>
    </w:tbl>
    <w:p>
      <w:pPr>
        <w:spacing w:after="80"/>
      </w:pPr>
    </w:p>
    <w:p>
      <w:pPr>
        <w:pStyle w:val="Heading2"/>
        <w:spacing w:before="240" w:after="80"/>
        <w:jc w:val="right"/>
        <w:bidi w:val="1"/>
        <w:pBdr>
          <w:bottom w:val="single" w:sz="6" w:space="3" w:color="1B3A5F"/>
        </w:pBdr>
      </w:pPr>
      <w:r>
        <w:rPr>
          <w:rFonts w:ascii="Calibri" w:hAnsi="Calibri"/>
          <w:b/>
          <w:color w:val="1B3A5F"/>
          <w:sz w:val="30"/>
          <w:rtl w:val="1"/>
        </w:rPr>
        <w:t>القدرات الرئيسية للمنصة</w:t>
      </w:r>
    </w:p>
    <w:p>
      <w:pPr>
        <w:spacing w:after="60"/>
        <w:ind w:right="504"/>
        <w:jc w:val="right"/>
        <w:bidi w:val="1"/>
      </w:pPr>
      <w:r>
        <w:rPr>
          <w:rFonts w:ascii="Calibri" w:hAnsi="Calibri"/>
          <w:color w:val="1A202C"/>
          <w:sz w:val="22"/>
          <w:rtl w:val="1"/>
        </w:rPr>
        <w:t>استقبال بلاغات الرسائل الاقتحامية من المنتفعين.</w:t>
      </w:r>
      <w:r>
        <w:rPr>
          <w:rFonts w:ascii="Calibri" w:hAnsi="Calibri"/>
          <w:color w:val="B8956B"/>
          <w:sz w:val="22"/>
        </w:rPr>
        <w:t xml:space="preserve">  •</w:t>
      </w:r>
    </w:p>
    <w:p>
      <w:pPr>
        <w:spacing w:after="60"/>
        <w:ind w:right="504"/>
        <w:jc w:val="right"/>
        <w:bidi w:val="1"/>
      </w:pPr>
      <w:r>
        <w:rPr>
          <w:rFonts w:ascii="Calibri" w:hAnsi="Calibri"/>
          <w:color w:val="1A202C"/>
          <w:sz w:val="22"/>
          <w:rtl w:val="1"/>
        </w:rPr>
        <w:t>التحقق من مصدر الرسالة ومطابقته بالجهة المسؤولة.</w:t>
      </w:r>
      <w:r>
        <w:rPr>
          <w:rFonts w:ascii="Calibri" w:hAnsi="Calibri"/>
          <w:color w:val="B8956B"/>
          <w:sz w:val="22"/>
        </w:rPr>
        <w:t xml:space="preserve">  •</w:t>
      </w:r>
    </w:p>
    <w:p>
      <w:pPr>
        <w:spacing w:after="60"/>
        <w:ind w:right="504"/>
        <w:jc w:val="right"/>
        <w:bidi w:val="1"/>
      </w:pPr>
      <w:r>
        <w:rPr>
          <w:rFonts w:ascii="Calibri" w:hAnsi="Calibri"/>
          <w:color w:val="1A202C"/>
          <w:sz w:val="22"/>
          <w:rtl w:val="1"/>
        </w:rPr>
        <w:t>تسجيل موافقة المنتفع أو عدم وجودها بشكل إلكتروني.</w:t>
      </w:r>
      <w:r>
        <w:rPr>
          <w:rFonts w:ascii="Calibri" w:hAnsi="Calibri"/>
          <w:color w:val="B8956B"/>
          <w:sz w:val="22"/>
        </w:rPr>
        <w:t xml:space="preserve">  •</w:t>
      </w:r>
    </w:p>
    <w:p>
      <w:pPr>
        <w:spacing w:after="60"/>
        <w:ind w:right="504"/>
        <w:jc w:val="right"/>
        <w:bidi w:val="1"/>
      </w:pPr>
      <w:r>
        <w:rPr>
          <w:rFonts w:ascii="Calibri" w:hAnsi="Calibri"/>
          <w:color w:val="1A202C"/>
          <w:sz w:val="22"/>
          <w:rtl w:val="1"/>
        </w:rPr>
        <w:t>تسجيل طلبات إيقاف الرسائل ورصد الاستمرار بعد الإيقاف.</w:t>
      </w:r>
      <w:r>
        <w:rPr>
          <w:rFonts w:ascii="Calibri" w:hAnsi="Calibri"/>
          <w:color w:val="B8956B"/>
          <w:sz w:val="22"/>
        </w:rPr>
        <w:t xml:space="preserve">  •</w:t>
      </w:r>
    </w:p>
    <w:p>
      <w:pPr>
        <w:spacing w:after="60"/>
        <w:ind w:right="504"/>
        <w:jc w:val="right"/>
        <w:bidi w:val="1"/>
      </w:pPr>
      <w:r>
        <w:rPr>
          <w:rFonts w:ascii="Calibri" w:hAnsi="Calibri"/>
          <w:color w:val="1A202C"/>
          <w:sz w:val="22"/>
          <w:rtl w:val="1"/>
        </w:rPr>
        <w:t>تصنيف المخالفات واحتساب درجة خطورة لكل مصدر.</w:t>
      </w:r>
      <w:r>
        <w:rPr>
          <w:rFonts w:ascii="Calibri" w:hAnsi="Calibri"/>
          <w:color w:val="B8956B"/>
          <w:sz w:val="22"/>
        </w:rPr>
        <w:t xml:space="preserve">  •</w:t>
      </w:r>
    </w:p>
    <w:p>
      <w:pPr>
        <w:spacing w:after="60"/>
        <w:ind w:right="504"/>
        <w:jc w:val="right"/>
        <w:bidi w:val="1"/>
      </w:pPr>
      <w:r>
        <w:rPr>
          <w:rFonts w:ascii="Calibri" w:hAnsi="Calibri"/>
          <w:color w:val="1A202C"/>
          <w:sz w:val="22"/>
          <w:rtl w:val="1"/>
        </w:rPr>
        <w:t>إصدار التنبيهات ومتابعة التحقيقات والإجراءات التنظيمية.</w:t>
      </w:r>
      <w:r>
        <w:rPr>
          <w:rFonts w:ascii="Calibri" w:hAnsi="Calibri"/>
          <w:color w:val="B8956B"/>
          <w:sz w:val="22"/>
        </w:rPr>
        <w:t xml:space="preserve">  •</w:t>
      </w:r>
    </w:p>
    <w:p>
      <w:pPr>
        <w:spacing w:after="60"/>
        <w:ind w:right="504"/>
        <w:jc w:val="right"/>
        <w:bidi w:val="1"/>
      </w:pPr>
      <w:r>
        <w:rPr>
          <w:rFonts w:ascii="Calibri" w:hAnsi="Calibri"/>
          <w:color w:val="1A202C"/>
          <w:sz w:val="22"/>
          <w:rtl w:val="1"/>
        </w:rPr>
        <w:t>إنشاء قائمة حظر مركزية وتوفير مؤشرات وتقارير لصنّاع القرار.</w:t>
      </w:r>
      <w:r>
        <w:rPr>
          <w:rFonts w:ascii="Calibri" w:hAnsi="Calibri"/>
          <w:color w:val="B8956B"/>
          <w:sz w:val="22"/>
        </w:rPr>
        <w:t xml:space="preserve">  •</w:t>
      </w:r>
    </w:p>
    <w:p>
      <w:r>
        <w:br w:type="page"/>
      </w:r>
    </w:p>
    <w:p>
      <w:pPr>
        <w:pStyle w:val="Heading1"/>
        <w:spacing w:before="360" w:after="160"/>
        <w:jc w:val="right"/>
        <w:keepNext/>
        <w:bidi w:val="1"/>
        <w:pBdr>
          <w:bottom w:val="single" w:sz="12" w:space="6" w:color="B8956B"/>
        </w:pBdr>
      </w:pPr>
      <w:r>
        <w:rPr>
          <w:rFonts w:ascii="Calibri" w:hAnsi="Calibri"/>
          <w:b/>
          <w:color w:val="0A192F"/>
          <w:sz w:val="44"/>
          <w:rtl w:val="1"/>
        </w:rPr>
        <w:t>2. لماذا نحتاج إلى المنصة؟</w:t>
      </w:r>
    </w:p>
    <w:p>
      <w:pPr>
        <w:spacing w:after="160" w:line="276" w:lineRule="auto"/>
        <w:jc w:val="right"/>
        <w:bidi w:val="1"/>
      </w:pPr>
      <w:r>
        <w:rPr>
          <w:rFonts w:ascii="Calibri" w:hAnsi="Calibri"/>
          <w:color w:val="1A202C"/>
          <w:sz w:val="22"/>
          <w:rtl w:val="1"/>
        </w:rPr>
        <w:t>لا تتمثل المشكلة في وصول رسالة مزعجة فحسب، بل في صعوبة الإجابة عن أسئلة تنظيمية أساسية تظل غامضة في النموذج الحالي: هل وافق المنتفع فعلاً على استقبال الرسالة؟ ومن أرسلها ومن المستفيد الحقيقي من الحملة؟ وهل طلب المنتفع الإلغاء، وهل استمرت الرسائل بعد طلبه؟</w:t>
      </w:r>
    </w:p>
    <w:p>
      <w:pPr>
        <w:spacing w:after="160" w:line="276" w:lineRule="auto"/>
        <w:jc w:val="right"/>
        <w:bidi w:val="1"/>
      </w:pPr>
      <w:r>
        <w:rPr>
          <w:rFonts w:ascii="Calibri" w:hAnsi="Calibri"/>
          <w:color w:val="1A202C"/>
          <w:sz w:val="22"/>
          <w:rtl w:val="1"/>
        </w:rPr>
        <w:t>يوضّح هذا التصوّر كيف تعالج المنصة هذه الأسئلة واحداً تلو الآخر من خلال سجل مركزي للموافقات وطلبات الإلغاء، وربط المصدر بالجهة المستفيدة، ورصد آلي للمخالفات المتكررة، مع جدول مقارنة تفصيلي في القسم الأخير من هذه الوثيقة.</w:t>
      </w:r>
    </w:p>
    <w:tbl>
      <w:tblPr>
        <w:tblW w:type="auto" w:w="0"/>
        <w:tblLook w:firstColumn="1" w:firstRow="1" w:lastColumn="0" w:lastRow="0" w:noHBand="0" w:noVBand="1" w:val="04A0"/>
      </w:tblPr>
      <w:tblGrid>
        <w:gridCol w:w="8640"/>
      </w:tblGrid>
      <w:tr>
        <w:tc>
          <w:tcPr>
            <w:tcW w:type="dxa" w:w="8640"/>
            <w:shd w:val="clear" w:color="auto" w:fill="ECFDF5"/>
            <w:tcBorders>
              <w:top w:val="single" w:sz="4" w:space="0" w:color="ECFDF5"/>
              <w:left w:val="single" w:sz="24" w:space="0" w:color="059669"/>
              <w:bottom w:val="single" w:sz="4" w:space="0" w:color="ECFDF5"/>
              <w:right w:val="single" w:sz="4" w:space="0" w:color="ECFDF5"/>
            </w:tcBorders>
          </w:tcPr>
          <w:p>
            <w:pPr>
              <w:spacing w:before="120" w:after="120"/>
              <w:jc w:val="right"/>
              <w:bidi w:val="1"/>
            </w:pPr>
            <w:r>
              <w:rPr>
                <w:rFonts w:ascii="Calibri" w:hAnsi="Calibri"/>
                <w:b/>
                <w:color w:val="059669"/>
                <w:sz w:val="18"/>
              </w:rPr>
              <w:t xml:space="preserve">TIP  </w:t>
            </w:r>
            <w:r>
              <w:rPr>
                <w:rFonts w:ascii="Calibri" w:hAnsi="Calibri"/>
                <w:color w:val="1A202C"/>
                <w:sz w:val="20"/>
                <w:rtl w:val="1"/>
              </w:rPr>
              <w:t>الهدف الجوهري: الانتقال من «نظام شكاوى» يعالج كل بلاغ بمعزل عن غيره، إلى «نظام رقابة وتنظيم واستباق للمخالفات» مبني على البيانات</w:t>
            </w:r>
          </w:p>
        </w:tc>
      </w:tr>
    </w:tbl>
    <w:p>
      <w:pPr>
        <w:spacing w:after="80"/>
      </w:pPr>
    </w:p>
    <w:p>
      <w:pPr>
        <w:pStyle w:val="Heading1"/>
        <w:spacing w:before="360" w:after="160"/>
        <w:jc w:val="right"/>
        <w:keepNext/>
        <w:bidi w:val="1"/>
        <w:pBdr>
          <w:bottom w:val="single" w:sz="12" w:space="6" w:color="B8956B"/>
        </w:pBdr>
      </w:pPr>
      <w:r>
        <w:rPr>
          <w:rFonts w:ascii="Calibri" w:hAnsi="Calibri"/>
          <w:b/>
          <w:color w:val="0A192F"/>
          <w:sz w:val="44"/>
          <w:rtl w:val="1"/>
        </w:rPr>
        <w:t>3. الأساس التنظيمي</w:t>
      </w:r>
    </w:p>
    <w:p>
      <w:pPr>
        <w:spacing w:after="160" w:line="276" w:lineRule="auto"/>
        <w:jc w:val="right"/>
        <w:bidi w:val="1"/>
      </w:pPr>
      <w:r>
        <w:rPr>
          <w:rFonts w:ascii="Calibri" w:hAnsi="Calibri"/>
          <w:color w:val="1A202C"/>
          <w:sz w:val="22"/>
          <w:rtl w:val="1"/>
        </w:rPr>
        <w:t>ترتكز الفكرة على أحكام لائحة تنظيم حقوق المنتفعين بخدمات الاتصالات الصادرة في عام 2022، ولا سيما الفصل المتعلق بالرسائل الاقتحامية والرسائل التجارية أو الدعائية، مع التركيز على المواد من 23 إلى 28، التي تتضمن:</w:t>
      </w:r>
    </w:p>
    <w:p>
      <w:pPr>
        <w:spacing w:after="60"/>
        <w:ind w:right="504"/>
        <w:jc w:val="right"/>
        <w:bidi w:val="1"/>
      </w:pPr>
      <w:r>
        <w:rPr>
          <w:rFonts w:ascii="Calibri" w:hAnsi="Calibri"/>
          <w:color w:val="1A202C"/>
          <w:sz w:val="22"/>
          <w:rtl w:val="1"/>
        </w:rPr>
        <w:t>حظر إرسال الرسائل الاقتحامية.</w:t>
      </w:r>
      <w:r>
        <w:rPr>
          <w:rFonts w:ascii="Calibri" w:hAnsi="Calibri"/>
          <w:color w:val="B8956B"/>
          <w:sz w:val="22"/>
        </w:rPr>
        <w:t xml:space="preserve">  •</w:t>
      </w:r>
    </w:p>
    <w:p>
      <w:pPr>
        <w:spacing w:after="60"/>
        <w:ind w:right="504"/>
        <w:jc w:val="right"/>
        <w:bidi w:val="1"/>
      </w:pPr>
      <w:r>
        <w:rPr>
          <w:rFonts w:ascii="Calibri" w:hAnsi="Calibri"/>
          <w:color w:val="1A202C"/>
          <w:sz w:val="22"/>
          <w:rtl w:val="1"/>
        </w:rPr>
        <w:t>اشتراط الموافقة المسبقة للرسائل التجارية والدعائية.</w:t>
      </w:r>
      <w:r>
        <w:rPr>
          <w:rFonts w:ascii="Calibri" w:hAnsi="Calibri"/>
          <w:color w:val="B8956B"/>
          <w:sz w:val="22"/>
        </w:rPr>
        <w:t xml:space="preserve">  •</w:t>
      </w:r>
    </w:p>
    <w:p>
      <w:pPr>
        <w:spacing w:after="60"/>
        <w:ind w:right="504"/>
        <w:jc w:val="right"/>
        <w:bidi w:val="1"/>
      </w:pPr>
      <w:r>
        <w:rPr>
          <w:rFonts w:ascii="Calibri" w:hAnsi="Calibri"/>
          <w:color w:val="1A202C"/>
          <w:sz w:val="22"/>
          <w:rtl w:val="1"/>
        </w:rPr>
        <w:t>إظهار هوية المرسل وبيانات التواصل.</w:t>
      </w:r>
      <w:r>
        <w:rPr>
          <w:rFonts w:ascii="Calibri" w:hAnsi="Calibri"/>
          <w:color w:val="B8956B"/>
          <w:sz w:val="22"/>
        </w:rPr>
        <w:t xml:space="preserve">  •</w:t>
      </w:r>
    </w:p>
    <w:p>
      <w:pPr>
        <w:spacing w:after="60"/>
        <w:ind w:right="504"/>
        <w:jc w:val="right"/>
        <w:bidi w:val="1"/>
      </w:pPr>
      <w:r>
        <w:rPr>
          <w:rFonts w:ascii="Calibri" w:hAnsi="Calibri"/>
          <w:color w:val="1A202C"/>
          <w:sz w:val="22"/>
          <w:rtl w:val="1"/>
        </w:rPr>
        <w:t>توفير وسيلة لإيقاف الرسائل.</w:t>
      </w:r>
      <w:r>
        <w:rPr>
          <w:rFonts w:ascii="Calibri" w:hAnsi="Calibri"/>
          <w:color w:val="B8956B"/>
          <w:sz w:val="22"/>
        </w:rPr>
        <w:t xml:space="preserve">  •</w:t>
      </w:r>
    </w:p>
    <w:p>
      <w:pPr>
        <w:spacing w:after="60"/>
        <w:ind w:right="504"/>
        <w:jc w:val="right"/>
        <w:bidi w:val="1"/>
      </w:pPr>
      <w:r>
        <w:rPr>
          <w:rFonts w:ascii="Calibri" w:hAnsi="Calibri"/>
          <w:color w:val="1A202C"/>
          <w:sz w:val="22"/>
          <w:rtl w:val="1"/>
        </w:rPr>
        <w:t>الاحتفاظ ببيانات الرسائل والموافقات والطلبات.</w:t>
      </w:r>
      <w:r>
        <w:rPr>
          <w:rFonts w:ascii="Calibri" w:hAnsi="Calibri"/>
          <w:color w:val="B8956B"/>
          <w:sz w:val="22"/>
        </w:rPr>
        <w:t xml:space="preserve">  •</w:t>
      </w:r>
    </w:p>
    <w:p>
      <w:pPr>
        <w:spacing w:after="60"/>
        <w:ind w:right="504"/>
        <w:jc w:val="right"/>
        <w:bidi w:val="1"/>
      </w:pPr>
      <w:r>
        <w:rPr>
          <w:rFonts w:ascii="Calibri" w:hAnsi="Calibri"/>
          <w:color w:val="1A202C"/>
          <w:sz w:val="22"/>
          <w:rtl w:val="1"/>
        </w:rPr>
        <w:t>تحديد مسؤولية المرسل والمستفيد من الإرسال.</w:t>
      </w:r>
      <w:r>
        <w:rPr>
          <w:rFonts w:ascii="Calibri" w:hAnsi="Calibri"/>
          <w:color w:val="B8956B"/>
          <w:sz w:val="22"/>
        </w:rPr>
        <w:t xml:space="preserve">  •</w:t>
      </w:r>
    </w:p>
    <w:p>
      <w:pPr>
        <w:spacing w:after="60"/>
        <w:ind w:right="504"/>
        <w:jc w:val="right"/>
        <w:bidi w:val="1"/>
      </w:pPr>
      <w:r>
        <w:rPr>
          <w:rFonts w:ascii="Calibri" w:hAnsi="Calibri"/>
          <w:color w:val="1A202C"/>
          <w:sz w:val="22"/>
          <w:rtl w:val="1"/>
        </w:rPr>
        <w:t>إمكانية المطالبة بالتعويض عن الضرر وفق ما ورد في اللائحة.</w:t>
      </w:r>
      <w:r>
        <w:rPr>
          <w:rFonts w:ascii="Calibri" w:hAnsi="Calibri"/>
          <w:color w:val="B8956B"/>
          <w:sz w:val="22"/>
        </w:rPr>
        <w:t xml:space="preserve">  •</w:t>
      </w:r>
    </w:p>
    <w:p>
      <w:pPr>
        <w:spacing w:after="160" w:line="276" w:lineRule="auto"/>
        <w:jc w:val="right"/>
        <w:bidi w:val="1"/>
      </w:pPr>
      <w:r>
        <w:rPr>
          <w:rFonts w:ascii="Calibri" w:hAnsi="Calibri"/>
          <w:color w:val="1A202C"/>
          <w:sz w:val="22"/>
          <w:rtl w:val="1"/>
        </w:rPr>
        <w:t>وترتبط الفكرة أيضاً بحماية بيانات المنتفعين المنصوص عليها في المواد من 29 إلى 32 من اللائحة ذاتها.</w:t>
      </w:r>
    </w:p>
    <w:tbl>
      <w:tblPr>
        <w:tblW w:type="auto" w:w="0"/>
        <w:tblLook w:firstColumn="1" w:firstRow="1" w:lastColumn="0" w:lastRow="0" w:noHBand="0" w:noVBand="1" w:val="04A0"/>
      </w:tblPr>
      <w:tblGrid>
        <w:gridCol w:w="8640"/>
      </w:tblGrid>
      <w:tr>
        <w:tc>
          <w:tcPr>
            <w:tcW w:type="dxa" w:w="8640"/>
            <w:shd w:val="clear" w:color="auto" w:fill="FFFBEB"/>
            <w:tcBorders>
              <w:top w:val="single" w:sz="4" w:space="0" w:color="FFFBEB"/>
              <w:left w:val="single" w:sz="24" w:space="0" w:color="D97706"/>
              <w:bottom w:val="single" w:sz="4" w:space="0" w:color="FFFBEB"/>
              <w:right w:val="single" w:sz="4" w:space="0" w:color="FFFBEB"/>
            </w:tcBorders>
          </w:tcPr>
          <w:p>
            <w:pPr>
              <w:spacing w:before="120" w:after="120"/>
              <w:jc w:val="right"/>
              <w:bidi w:val="1"/>
            </w:pPr>
            <w:r>
              <w:rPr>
                <w:rFonts w:ascii="Calibri" w:hAnsi="Calibri"/>
                <w:b/>
                <w:color w:val="D97706"/>
                <w:sz w:val="18"/>
              </w:rPr>
              <w:t xml:space="preserve">WARNING  </w:t>
            </w:r>
            <w:r>
              <w:rPr>
                <w:rFonts w:ascii="Calibri" w:hAnsi="Calibri"/>
                <w:color w:val="1A202C"/>
                <w:sz w:val="20"/>
                <w:rtl w:val="1"/>
              </w:rPr>
              <w:t>ملاحظة مهمة: المشاورة العامة لتعديل لائحة حقوق المنتفعين المنشورة في 25 مارس 2026 استهدفت تحديث الإطار التنظيمي وتطوير آليات الشكاوى والمنازعات، وإدخال فصل خاص بتقنيات الذكاء الاصطناعي؛ وهي مشاورة وليست بحد ذاتها لائحة نافذة.</w:t>
            </w:r>
          </w:p>
        </w:tc>
      </w:tr>
    </w:tbl>
    <w:p>
      <w:pPr>
        <w:spacing w:after="80"/>
      </w:pPr>
    </w:p>
    <w:p>
      <w:r>
        <w:br w:type="page"/>
      </w:r>
    </w:p>
    <w:p>
      <w:pPr>
        <w:pStyle w:val="Heading1"/>
        <w:spacing w:before="360" w:after="160"/>
        <w:jc w:val="right"/>
        <w:keepNext/>
        <w:bidi w:val="1"/>
        <w:pBdr>
          <w:bottom w:val="single" w:sz="12" w:space="6" w:color="B8956B"/>
        </w:pBdr>
      </w:pPr>
      <w:r>
        <w:rPr>
          <w:rFonts w:ascii="Calibri" w:hAnsi="Calibri"/>
          <w:b/>
          <w:color w:val="0A192F"/>
          <w:sz w:val="44"/>
          <w:rtl w:val="1"/>
        </w:rPr>
        <w:t>4. الرؤية والرسالة</w:t>
      </w:r>
    </w:p>
    <w:p>
      <w:pPr>
        <w:spacing w:after="160" w:line="276" w:lineRule="auto"/>
        <w:jc w:val="right"/>
        <w:bidi w:val="1"/>
      </w:pPr>
      <w:r>
        <w:rPr>
          <w:rFonts w:ascii="Calibri" w:hAnsi="Calibri"/>
          <w:color w:val="1A202C"/>
          <w:sz w:val="22"/>
          <w:rtl w:val="1"/>
        </w:rPr>
        <w:t>الرؤية: أن تصبح المنصة المرجع الوطني الموحد لرصد وإدارة وتحليل الرسائل الاقتحامية، وتعزيز حماية المنتفعين ورفع مستوى الامتثال في سوق الاتصالات.</w:t>
      </w:r>
    </w:p>
    <w:p>
      <w:pPr>
        <w:spacing w:after="160" w:line="276" w:lineRule="auto"/>
        <w:jc w:val="right"/>
        <w:bidi w:val="1"/>
      </w:pPr>
      <w:r>
        <w:rPr>
          <w:rFonts w:ascii="Calibri" w:hAnsi="Calibri"/>
          <w:color w:val="1A202C"/>
          <w:sz w:val="22"/>
          <w:rtl w:val="1"/>
        </w:rPr>
        <w:t>الرسالة: توفير منظومة رقمية موحدة تستقبل البلاغات، وتجمع الأدلة، وتربط الرسائل بمصادرها، وتحلّل المخاطر، وتدعم اتخاذ الإجراءات التنظيمية المبنية على البيانات.</w:t>
      </w:r>
    </w:p>
    <w:p>
      <w:pPr>
        <w:pStyle w:val="Heading1"/>
        <w:spacing w:before="360" w:after="160"/>
        <w:jc w:val="right"/>
        <w:keepNext/>
        <w:bidi w:val="1"/>
        <w:pBdr>
          <w:bottom w:val="single" w:sz="12" w:space="6" w:color="B8956B"/>
        </w:pBdr>
      </w:pPr>
      <w:r>
        <w:rPr>
          <w:rFonts w:ascii="Calibri" w:hAnsi="Calibri"/>
          <w:b/>
          <w:color w:val="0A192F"/>
          <w:sz w:val="44"/>
          <w:rtl w:val="1"/>
        </w:rPr>
        <w:t>5. أهداف المشروع</w:t>
      </w:r>
    </w:p>
    <w:p>
      <w:pPr>
        <w:spacing w:after="60"/>
        <w:ind w:right="504"/>
        <w:jc w:val="right"/>
        <w:bidi w:val="1"/>
      </w:pPr>
      <w:r>
        <w:rPr>
          <w:rFonts w:ascii="Calibri" w:hAnsi="Calibri"/>
          <w:color w:val="1A202C"/>
          <w:sz w:val="22"/>
          <w:rtl w:val="1"/>
        </w:rPr>
        <w:t>حماية المنتفعين من الرسائل التجارية غير المرغوب فيها.</w:t>
      </w:r>
      <w:r>
        <w:rPr>
          <w:rFonts w:ascii="Calibri" w:hAnsi="Calibri"/>
          <w:color w:val="B8956B"/>
          <w:sz w:val="22"/>
        </w:rPr>
        <w:t xml:space="preserve">  •</w:t>
      </w:r>
    </w:p>
    <w:p>
      <w:pPr>
        <w:spacing w:after="60"/>
        <w:ind w:right="504"/>
        <w:jc w:val="right"/>
        <w:bidi w:val="1"/>
      </w:pPr>
      <w:r>
        <w:rPr>
          <w:rFonts w:ascii="Calibri" w:hAnsi="Calibri"/>
          <w:color w:val="1A202C"/>
          <w:sz w:val="22"/>
          <w:rtl w:val="1"/>
        </w:rPr>
        <w:t>تسهيل الإبلاغ عن الرسائل الاقتحامية.</w:t>
      </w:r>
      <w:r>
        <w:rPr>
          <w:rFonts w:ascii="Calibri" w:hAnsi="Calibri"/>
          <w:color w:val="B8956B"/>
          <w:sz w:val="22"/>
        </w:rPr>
        <w:t xml:space="preserve">  •</w:t>
      </w:r>
    </w:p>
    <w:p>
      <w:pPr>
        <w:spacing w:after="60"/>
        <w:ind w:right="504"/>
        <w:jc w:val="right"/>
        <w:bidi w:val="1"/>
      </w:pPr>
      <w:r>
        <w:rPr>
          <w:rFonts w:ascii="Calibri" w:hAnsi="Calibri"/>
          <w:color w:val="1A202C"/>
          <w:sz w:val="22"/>
          <w:rtl w:val="1"/>
        </w:rPr>
        <w:t>توحيد بيانات الرسائل والبلاغات على مستوى الهيئة.</w:t>
      </w:r>
      <w:r>
        <w:rPr>
          <w:rFonts w:ascii="Calibri" w:hAnsi="Calibri"/>
          <w:color w:val="B8956B"/>
          <w:sz w:val="22"/>
        </w:rPr>
        <w:t xml:space="preserve">  •</w:t>
      </w:r>
    </w:p>
    <w:p>
      <w:pPr>
        <w:spacing w:after="60"/>
        <w:ind w:right="504"/>
        <w:jc w:val="right"/>
        <w:bidi w:val="1"/>
      </w:pPr>
      <w:r>
        <w:rPr>
          <w:rFonts w:ascii="Calibri" w:hAnsi="Calibri"/>
          <w:color w:val="1A202C"/>
          <w:sz w:val="22"/>
          <w:rtl w:val="1"/>
        </w:rPr>
        <w:t>رفع قدرة الهيئة على الرقابة والتحقيق.</w:t>
      </w:r>
      <w:r>
        <w:rPr>
          <w:rFonts w:ascii="Calibri" w:hAnsi="Calibri"/>
          <w:color w:val="B8956B"/>
          <w:sz w:val="22"/>
        </w:rPr>
        <w:t xml:space="preserve">  •</w:t>
      </w:r>
    </w:p>
    <w:p>
      <w:pPr>
        <w:spacing w:after="60"/>
        <w:ind w:right="504"/>
        <w:jc w:val="right"/>
        <w:bidi w:val="1"/>
      </w:pPr>
      <w:r>
        <w:rPr>
          <w:rFonts w:ascii="Calibri" w:hAnsi="Calibri"/>
          <w:color w:val="1A202C"/>
          <w:sz w:val="22"/>
          <w:rtl w:val="1"/>
        </w:rPr>
        <w:t>إثبات الموافقة أو عدم وجودها بطريقة إلكترونية.</w:t>
      </w:r>
      <w:r>
        <w:rPr>
          <w:rFonts w:ascii="Calibri" w:hAnsi="Calibri"/>
          <w:color w:val="B8956B"/>
          <w:sz w:val="22"/>
        </w:rPr>
        <w:t xml:space="preserve">  •</w:t>
      </w:r>
    </w:p>
    <w:p>
      <w:pPr>
        <w:spacing w:after="60"/>
        <w:ind w:right="504"/>
        <w:jc w:val="right"/>
        <w:bidi w:val="1"/>
      </w:pPr>
      <w:r>
        <w:rPr>
          <w:rFonts w:ascii="Calibri" w:hAnsi="Calibri"/>
          <w:color w:val="1A202C"/>
          <w:sz w:val="22"/>
          <w:rtl w:val="1"/>
        </w:rPr>
        <w:t>رصد مخالفة الاستمرار بعد طلب الإلغاء.</w:t>
      </w:r>
      <w:r>
        <w:rPr>
          <w:rFonts w:ascii="Calibri" w:hAnsi="Calibri"/>
          <w:color w:val="B8956B"/>
          <w:sz w:val="22"/>
        </w:rPr>
        <w:t xml:space="preserve">  •</w:t>
      </w:r>
    </w:p>
    <w:p>
      <w:pPr>
        <w:spacing w:after="60"/>
        <w:ind w:right="504"/>
        <w:jc w:val="right"/>
        <w:bidi w:val="1"/>
      </w:pPr>
      <w:r>
        <w:rPr>
          <w:rFonts w:ascii="Calibri" w:hAnsi="Calibri"/>
          <w:color w:val="1A202C"/>
          <w:sz w:val="22"/>
          <w:rtl w:val="1"/>
        </w:rPr>
        <w:t>تحديد المسؤول الحقيقي عن الحملة.</w:t>
      </w:r>
      <w:r>
        <w:rPr>
          <w:rFonts w:ascii="Calibri" w:hAnsi="Calibri"/>
          <w:color w:val="B8956B"/>
          <w:sz w:val="22"/>
        </w:rPr>
        <w:t xml:space="preserve">  •</w:t>
      </w:r>
    </w:p>
    <w:p>
      <w:pPr>
        <w:spacing w:after="60"/>
        <w:ind w:right="504"/>
        <w:jc w:val="right"/>
        <w:bidi w:val="1"/>
      </w:pPr>
      <w:r>
        <w:rPr>
          <w:rFonts w:ascii="Calibri" w:hAnsi="Calibri"/>
          <w:color w:val="1A202C"/>
          <w:sz w:val="22"/>
          <w:rtl w:val="1"/>
        </w:rPr>
        <w:t>تصنيف مصادر الرسائل حسب درجة الخطورة.</w:t>
      </w:r>
      <w:r>
        <w:rPr>
          <w:rFonts w:ascii="Calibri" w:hAnsi="Calibri"/>
          <w:color w:val="B8956B"/>
          <w:sz w:val="22"/>
        </w:rPr>
        <w:t xml:space="preserve">  •</w:t>
      </w:r>
    </w:p>
    <w:p>
      <w:pPr>
        <w:spacing w:after="60"/>
        <w:ind w:right="504"/>
        <w:jc w:val="right"/>
        <w:bidi w:val="1"/>
      </w:pPr>
      <w:r>
        <w:rPr>
          <w:rFonts w:ascii="Calibri" w:hAnsi="Calibri"/>
          <w:color w:val="1A202C"/>
          <w:sz w:val="22"/>
          <w:rtl w:val="1"/>
        </w:rPr>
        <w:t>إنشاء قاعدة أدلة رقمية للمخالفات.</w:t>
      </w:r>
      <w:r>
        <w:rPr>
          <w:rFonts w:ascii="Calibri" w:hAnsi="Calibri"/>
          <w:color w:val="B8956B"/>
          <w:sz w:val="22"/>
        </w:rPr>
        <w:t xml:space="preserve">  •</w:t>
      </w:r>
    </w:p>
    <w:p>
      <w:pPr>
        <w:spacing w:after="60"/>
        <w:ind w:right="504"/>
        <w:jc w:val="right"/>
        <w:bidi w:val="1"/>
      </w:pPr>
      <w:r>
        <w:rPr>
          <w:rFonts w:ascii="Calibri" w:hAnsi="Calibri"/>
          <w:color w:val="1A202C"/>
          <w:sz w:val="22"/>
          <w:rtl w:val="1"/>
        </w:rPr>
        <w:t>توفير لوحة مؤشرات لصنّاع القرار.</w:t>
      </w:r>
      <w:r>
        <w:rPr>
          <w:rFonts w:ascii="Calibri" w:hAnsi="Calibri"/>
          <w:color w:val="B8956B"/>
          <w:sz w:val="22"/>
        </w:rPr>
        <w:t xml:space="preserve">  •</w:t>
      </w:r>
    </w:p>
    <w:p>
      <w:pPr>
        <w:spacing w:after="60"/>
        <w:ind w:right="504"/>
        <w:jc w:val="right"/>
        <w:bidi w:val="1"/>
      </w:pPr>
      <w:r>
        <w:rPr>
          <w:rFonts w:ascii="Calibri" w:hAnsi="Calibri"/>
          <w:color w:val="1A202C"/>
          <w:sz w:val="22"/>
          <w:rtl w:val="1"/>
        </w:rPr>
        <w:t>الانتقال من الاستجابة إلى الوقاية والإنذار المبكر.</w:t>
      </w:r>
      <w:r>
        <w:rPr>
          <w:rFonts w:ascii="Calibri" w:hAnsi="Calibri"/>
          <w:color w:val="B8956B"/>
          <w:sz w:val="22"/>
        </w:rPr>
        <w:t xml:space="preserve">  •</w:t>
      </w:r>
    </w:p>
    <w:p>
      <w:pPr>
        <w:spacing w:after="60"/>
        <w:ind w:right="504"/>
        <w:jc w:val="right"/>
        <w:bidi w:val="1"/>
      </w:pPr>
      <w:r>
        <w:rPr>
          <w:rFonts w:ascii="Calibri" w:hAnsi="Calibri"/>
          <w:color w:val="1A202C"/>
          <w:sz w:val="22"/>
          <w:rtl w:val="1"/>
        </w:rPr>
        <w:t>تهيئة المنصة للتكامل مع تقنيات الذكاء الاصطناعي مستقبلاً.</w:t>
      </w:r>
      <w:r>
        <w:rPr>
          <w:rFonts w:ascii="Calibri" w:hAnsi="Calibri"/>
          <w:color w:val="B8956B"/>
          <w:sz w:val="22"/>
        </w:rPr>
        <w:t xml:space="preserve">  •</w:t>
      </w:r>
    </w:p>
    <w:p>
      <w:pPr>
        <w:pStyle w:val="Heading1"/>
        <w:spacing w:before="360" w:after="160"/>
        <w:jc w:val="right"/>
        <w:keepNext/>
        <w:bidi w:val="1"/>
        <w:pBdr>
          <w:bottom w:val="single" w:sz="12" w:space="6" w:color="B8956B"/>
        </w:pBdr>
      </w:pPr>
      <w:r>
        <w:rPr>
          <w:rFonts w:ascii="Calibri" w:hAnsi="Calibri"/>
          <w:b/>
          <w:color w:val="0A192F"/>
          <w:sz w:val="44"/>
          <w:rtl w:val="1"/>
        </w:rPr>
        <w:t>6. مكونات المنصة</w:t>
      </w:r>
    </w:p>
    <w:p>
      <w:pPr>
        <w:spacing w:after="160" w:line="276" w:lineRule="auto"/>
        <w:jc w:val="right"/>
        <w:bidi w:val="1"/>
      </w:pPr>
      <w:r>
        <w:rPr>
          <w:rFonts w:ascii="Calibri" w:hAnsi="Calibri"/>
          <w:color w:val="1A202C"/>
          <w:sz w:val="22"/>
          <w:rtl w:val="1"/>
        </w:rPr>
        <w:t>تُبنى المنصة من ثمانية أنظمة رئيسية متكاملة تغطي دورة حياة البلاغ من لحظة وصول الرسالة حتى اتخاذ الإجراء التنظيمي وقياس النتيجة:</w:t>
      </w:r>
    </w:p>
    <w:tbl>
      <w:tblPr>
        <w:tblStyle w:val="TableGrid"/>
        <w:tblW w:type="auto" w:w="0"/>
        <w:tblLayout w:type="autofit"/>
        <w:tblLook w:firstColumn="1" w:firstRow="1" w:lastColumn="0" w:lastRow="0" w:noHBand="0" w:noVBand="1" w:val="04A0"/>
      </w:tblPr>
      <w:tblGrid>
        <w:gridCol w:w="4320"/>
        <w:gridCol w:w="4320"/>
      </w:tblGrid>
      <w:tr>
        <w:tc>
          <w:tcPr>
            <w:tcW w:type="dxa" w:w="432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النظام</w:t>
            </w:r>
          </w:p>
        </w:tc>
        <w:tc>
          <w:tcPr>
            <w:tcW w:type="dxa" w:w="432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الوظيفة</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1. بوابة المنتفع</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استقبال البلاغات وإدارة طلبات الإلغاء</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2. سجل الموافقات</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تسجيل وتتبع موافقات استقبال الرسائل</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3. سجل المرسلين</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تسجيل الجهات ومصادر الرسائل</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4. سجل الرسائل</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تخزين وتحليل الرسائل والبيانات المرتبطة بها</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5. نظام إدارة الشكاوى</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متابعة البلاغ من الاستقبال حتى الإغلاق</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6. محرك المخاطر</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احتساب درجة خطورة للمصدر</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7. لوحة التحكم</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مؤشرات وتحليلات وتقارير الهيئة</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8. نظام الإنذار المبكر</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اكتشاف الأنماط غير الطبيعية والمخالفات المتكررة</w:t>
            </w:r>
          </w:p>
        </w:tc>
      </w:tr>
    </w:tbl>
    <w:p>
      <w:pPr>
        <w:spacing w:before="200" w:after="80"/>
        <w:jc w:val="center"/>
        <w:bidi/>
      </w:pPr>
      <w:r>
        <w:drawing>
          <wp:inline xmlns:a="http://schemas.openxmlformats.org/drawingml/2006/main" xmlns:pic="http://schemas.openxmlformats.org/drawingml/2006/picture">
            <wp:extent cx="5577840" cy="3528152"/>
            <wp:docPr id="1" name="Picture 1"/>
            <wp:cNvGraphicFramePr>
              <a:graphicFrameLocks noChangeAspect="1"/>
            </wp:cNvGraphicFramePr>
            <a:graphic>
              <a:graphicData uri="http://schemas.openxmlformats.org/drawingml/2006/picture">
                <pic:pic>
                  <pic:nvPicPr>
                    <pic:cNvPr id="0" name="platform_architecture.png"/>
                    <pic:cNvPicPr/>
                  </pic:nvPicPr>
                  <pic:blipFill>
                    <a:blip r:embed="rId12"/>
                    <a:stretch>
                      <a:fillRect/>
                    </a:stretch>
                  </pic:blipFill>
                  <pic:spPr>
                    <a:xfrm>
                      <a:off x="0" y="0"/>
                      <a:ext cx="5577840" cy="3528152"/>
                    </a:xfrm>
                    <a:prstGeom prst="rect"/>
                  </pic:spPr>
                </pic:pic>
              </a:graphicData>
            </a:graphic>
          </wp:inline>
        </w:drawing>
      </w:r>
    </w:p>
    <w:p>
      <w:pPr>
        <w:spacing w:after="240"/>
        <w:jc w:val="center"/>
        <w:bidi/>
      </w:pPr>
      <w:r>
        <w:rPr>
          <w:i/>
          <w:color w:val="595959"/>
          <w:sz w:val="18"/>
          <w:rtl/>
        </w:rPr>
        <w:t>الشكل (1): التصور المعماري للمنصة الوطنية لإدارة ومكافحة الرسائل الاقتحامية</w:t>
      </w:r>
    </w:p>
    <w:p>
      <w:pPr>
        <w:spacing w:after="120"/>
      </w:pPr>
    </w:p>
    <w:p>
      <w:r>
        <w:br w:type="page"/>
      </w:r>
    </w:p>
    <w:p>
      <w:pPr>
        <w:pStyle w:val="Heading1"/>
        <w:spacing w:before="360" w:after="160"/>
        <w:jc w:val="right"/>
        <w:keepNext/>
        <w:bidi w:val="1"/>
        <w:pBdr>
          <w:bottom w:val="single" w:sz="12" w:space="6" w:color="B8956B"/>
        </w:pBdr>
      </w:pPr>
      <w:r>
        <w:rPr>
          <w:rFonts w:ascii="Calibri" w:hAnsi="Calibri"/>
          <w:b/>
          <w:color w:val="0A192F"/>
          <w:sz w:val="44"/>
          <w:rtl w:val="1"/>
        </w:rPr>
        <w:t>7. رحلة المستخدم</w:t>
      </w:r>
    </w:p>
    <w:p>
      <w:pPr>
        <w:spacing w:after="160" w:line="276" w:lineRule="auto"/>
        <w:jc w:val="right"/>
        <w:bidi w:val="1"/>
      </w:pPr>
      <w:r>
        <w:rPr>
          <w:rFonts w:ascii="Calibri" w:hAnsi="Calibri"/>
          <w:color w:val="1A202C"/>
          <w:sz w:val="22"/>
          <w:rtl w:val="1"/>
        </w:rPr>
        <w:t>يبدأ السيناريو المقترح بوصول الرسالة الاقتحامية إلى المنتفع، الذي يضغط على زر «الإبلاغ عن رسالة اقتحامية» ويرسل رقم المرسل وصورة/نص الرسالة وتاريخ ووقت الرسالة، مع بيان ما إذا كان قد طلب الإلغاء مسبقاً، واسم الجهة إن كانت معروفة:</w:t>
      </w:r>
    </w:p>
    <w:p>
      <w:pPr>
        <w:spacing w:after="60"/>
        <w:ind w:right="504"/>
        <w:jc w:val="right"/>
        <w:bidi w:val="1"/>
      </w:pPr>
      <w:r>
        <w:rPr>
          <w:rFonts w:ascii="Calibri" w:hAnsi="Calibri"/>
          <w:color w:val="1A202C"/>
          <w:sz w:val="22"/>
          <w:rtl w:val="1"/>
        </w:rPr>
        <w:t>النظام يبحث عن مصدر الرسالة.</w:t>
      </w:r>
      <w:r>
        <w:rPr>
          <w:rFonts w:ascii="Calibri" w:hAnsi="Calibri"/>
          <w:color w:val="B8956B"/>
          <w:sz w:val="22"/>
        </w:rPr>
        <w:t xml:space="preserve">  1.</w:t>
      </w:r>
    </w:p>
    <w:p>
      <w:pPr>
        <w:spacing w:after="60"/>
        <w:ind w:right="504"/>
        <w:jc w:val="right"/>
        <w:bidi w:val="1"/>
      </w:pPr>
      <w:r>
        <w:rPr>
          <w:rFonts w:ascii="Calibri" w:hAnsi="Calibri"/>
          <w:color w:val="1A202C"/>
          <w:sz w:val="22"/>
          <w:rtl w:val="1"/>
        </w:rPr>
        <w:t>التحقق من سجل الموافقة.</w:t>
      </w:r>
      <w:r>
        <w:rPr>
          <w:rFonts w:ascii="Calibri" w:hAnsi="Calibri"/>
          <w:color w:val="B8956B"/>
          <w:sz w:val="22"/>
        </w:rPr>
        <w:t xml:space="preserve">  2.</w:t>
      </w:r>
    </w:p>
    <w:p>
      <w:pPr>
        <w:spacing w:after="60"/>
        <w:ind w:right="504"/>
        <w:jc w:val="right"/>
        <w:bidi w:val="1"/>
      </w:pPr>
      <w:r>
        <w:rPr>
          <w:rFonts w:ascii="Calibri" w:hAnsi="Calibri"/>
          <w:color w:val="1A202C"/>
          <w:sz w:val="22"/>
          <w:rtl w:val="1"/>
        </w:rPr>
        <w:t>التحقق من طلب الإلغاء.</w:t>
      </w:r>
      <w:r>
        <w:rPr>
          <w:rFonts w:ascii="Calibri" w:hAnsi="Calibri"/>
          <w:color w:val="B8956B"/>
          <w:sz w:val="22"/>
        </w:rPr>
        <w:t xml:space="preserve">  3.</w:t>
      </w:r>
    </w:p>
    <w:p>
      <w:pPr>
        <w:spacing w:after="60"/>
        <w:ind w:right="504"/>
        <w:jc w:val="right"/>
        <w:bidi w:val="1"/>
      </w:pPr>
      <w:r>
        <w:rPr>
          <w:rFonts w:ascii="Calibri" w:hAnsi="Calibri"/>
          <w:color w:val="1A202C"/>
          <w:sz w:val="22"/>
          <w:rtl w:val="1"/>
        </w:rPr>
        <w:t>ربط البلاغ بالمصدر والجهة المستفيدة.</w:t>
      </w:r>
      <w:r>
        <w:rPr>
          <w:rFonts w:ascii="Calibri" w:hAnsi="Calibri"/>
          <w:color w:val="B8956B"/>
          <w:sz w:val="22"/>
        </w:rPr>
        <w:t xml:space="preserve">  4.</w:t>
      </w:r>
    </w:p>
    <w:p>
      <w:pPr>
        <w:spacing w:after="60"/>
        <w:ind w:right="504"/>
        <w:jc w:val="right"/>
        <w:bidi w:val="1"/>
      </w:pPr>
      <w:r>
        <w:rPr>
          <w:rFonts w:ascii="Calibri" w:hAnsi="Calibri"/>
          <w:color w:val="1A202C"/>
          <w:sz w:val="22"/>
          <w:rtl w:val="1"/>
        </w:rPr>
        <w:t>احتساب درجة الخطورة.</w:t>
      </w:r>
      <w:r>
        <w:rPr>
          <w:rFonts w:ascii="Calibri" w:hAnsi="Calibri"/>
          <w:color w:val="B8956B"/>
          <w:sz w:val="22"/>
        </w:rPr>
        <w:t xml:space="preserve">  5.</w:t>
      </w:r>
    </w:p>
    <w:p>
      <w:pPr>
        <w:spacing w:after="60"/>
        <w:ind w:right="504"/>
        <w:jc w:val="right"/>
        <w:bidi w:val="1"/>
      </w:pPr>
      <w:r>
        <w:rPr>
          <w:rFonts w:ascii="Calibri" w:hAnsi="Calibri"/>
          <w:color w:val="1A202C"/>
          <w:sz w:val="22"/>
          <w:rtl w:val="1"/>
        </w:rPr>
        <w:t>تحديد مستوى المخالفة.</w:t>
      </w:r>
      <w:r>
        <w:rPr>
          <w:rFonts w:ascii="Calibri" w:hAnsi="Calibri"/>
          <w:color w:val="B8956B"/>
          <w:sz w:val="22"/>
        </w:rPr>
        <w:t xml:space="preserve">  6.</w:t>
      </w:r>
    </w:p>
    <w:p>
      <w:pPr>
        <w:spacing w:after="60"/>
        <w:ind w:right="504"/>
        <w:jc w:val="right"/>
        <w:bidi w:val="1"/>
      </w:pPr>
      <w:r>
        <w:rPr>
          <w:rFonts w:ascii="Calibri" w:hAnsi="Calibri"/>
          <w:color w:val="1A202C"/>
          <w:sz w:val="22"/>
          <w:rtl w:val="1"/>
        </w:rPr>
        <w:t>إحالة البلاغ للجهة المختصة عند الحاجة.</w:t>
      </w:r>
      <w:r>
        <w:rPr>
          <w:rFonts w:ascii="Calibri" w:hAnsi="Calibri"/>
          <w:color w:val="B8956B"/>
          <w:sz w:val="22"/>
        </w:rPr>
        <w:t xml:space="preserve">  7.</w:t>
      </w:r>
    </w:p>
    <w:p>
      <w:pPr>
        <w:spacing w:after="60"/>
        <w:ind w:right="504"/>
        <w:jc w:val="right"/>
        <w:bidi w:val="1"/>
      </w:pPr>
      <w:r>
        <w:rPr>
          <w:rFonts w:ascii="Calibri" w:hAnsi="Calibri"/>
          <w:color w:val="1A202C"/>
          <w:sz w:val="22"/>
          <w:rtl w:val="1"/>
        </w:rPr>
        <w:t>اتخاذ الإجراء التصحيحي أو التنظيمي.</w:t>
      </w:r>
      <w:r>
        <w:rPr>
          <w:rFonts w:ascii="Calibri" w:hAnsi="Calibri"/>
          <w:color w:val="B8956B"/>
          <w:sz w:val="22"/>
        </w:rPr>
        <w:t xml:space="preserve">  8.</w:t>
      </w:r>
    </w:p>
    <w:p>
      <w:pPr>
        <w:spacing w:after="60"/>
        <w:ind w:right="504"/>
        <w:jc w:val="right"/>
        <w:bidi w:val="1"/>
      </w:pPr>
      <w:r>
        <w:rPr>
          <w:rFonts w:ascii="Calibri" w:hAnsi="Calibri"/>
          <w:color w:val="1A202C"/>
          <w:sz w:val="22"/>
          <w:rtl w:val="1"/>
        </w:rPr>
        <w:t>إغلاق البلاغ وتسجيل النتيجة.</w:t>
      </w:r>
      <w:r>
        <w:rPr>
          <w:rFonts w:ascii="Calibri" w:hAnsi="Calibri"/>
          <w:color w:val="B8956B"/>
          <w:sz w:val="22"/>
        </w:rPr>
        <w:t xml:space="preserve">  9.</w:t>
      </w:r>
    </w:p>
    <w:p>
      <w:pPr>
        <w:spacing w:after="60"/>
        <w:ind w:right="504"/>
        <w:jc w:val="right"/>
        <w:bidi w:val="1"/>
      </w:pPr>
      <w:r>
        <w:rPr>
          <w:rFonts w:ascii="Calibri" w:hAnsi="Calibri"/>
          <w:color w:val="1A202C"/>
          <w:sz w:val="22"/>
          <w:rtl w:val="1"/>
        </w:rPr>
        <w:t>تحديث مؤشر خطورة المصدر.</w:t>
      </w:r>
      <w:r>
        <w:rPr>
          <w:rFonts w:ascii="Calibri" w:hAnsi="Calibri"/>
          <w:color w:val="B8956B"/>
          <w:sz w:val="22"/>
        </w:rPr>
        <w:t xml:space="preserve">  10.</w:t>
      </w:r>
    </w:p>
    <w:tbl>
      <w:tblPr>
        <w:tblW w:type="auto" w:w="0"/>
        <w:tblLook w:firstColumn="1" w:firstRow="1" w:lastColumn="0" w:lastRow="0" w:noHBand="0" w:noVBand="1" w:val="04A0"/>
      </w:tblPr>
      <w:tblGrid>
        <w:gridCol w:w="8640"/>
      </w:tblGrid>
      <w:tr>
        <w:tc>
          <w:tcPr>
            <w:tcW w:type="dxa" w:w="8640"/>
            <w:shd w:val="clear" w:color="auto" w:fill="F7F5F0"/>
            <w:tcBorders>
              <w:top w:val="single" w:sz="4" w:space="0" w:color="F7F5F0"/>
              <w:left w:val="single" w:sz="24" w:space="0" w:color="B8956B"/>
              <w:bottom w:val="single" w:sz="4" w:space="0" w:color="F7F5F0"/>
              <w:right w:val="single" w:sz="4" w:space="0" w:color="F7F5F0"/>
            </w:tcBorders>
          </w:tcPr>
          <w:p>
            <w:pPr>
              <w:spacing w:before="120" w:after="120"/>
              <w:jc w:val="right"/>
              <w:bidi w:val="1"/>
            </w:pPr>
            <w:r>
              <w:rPr>
                <w:rFonts w:ascii="Calibri" w:hAnsi="Calibri"/>
                <w:b/>
                <w:color w:val="B8956B"/>
                <w:sz w:val="18"/>
              </w:rPr>
              <w:t xml:space="preserve">INFO  </w:t>
            </w:r>
            <w:r>
              <w:rPr>
                <w:rFonts w:ascii="Calibri" w:hAnsi="Calibri"/>
                <w:color w:val="1A202C"/>
                <w:sz w:val="20"/>
                <w:rtl w:val="1"/>
              </w:rPr>
              <w:t>يتطابق هذا المسار مباشرة مع مقترح نظام الشكاوى الذكي وتصنيف المخالفات الوارد في ملف بيانات الوكيل</w:t>
            </w:r>
          </w:p>
        </w:tc>
      </w:tr>
    </w:tbl>
    <w:p>
      <w:pPr>
        <w:spacing w:after="80"/>
      </w:pPr>
    </w:p>
    <w:p>
      <w:pPr>
        <w:pStyle w:val="Heading1"/>
        <w:spacing w:before="360" w:after="160"/>
        <w:jc w:val="right"/>
        <w:keepNext/>
        <w:bidi w:val="1"/>
        <w:pBdr>
          <w:bottom w:val="single" w:sz="12" w:space="6" w:color="B8956B"/>
        </w:pBdr>
      </w:pPr>
      <w:r>
        <w:rPr>
          <w:rFonts w:ascii="Calibri" w:hAnsi="Calibri"/>
          <w:b/>
          <w:color w:val="0A192F"/>
          <w:sz w:val="44"/>
          <w:rtl w:val="1"/>
        </w:rPr>
        <w:t>8. سجل الموافقات</w:t>
      </w:r>
    </w:p>
    <w:p>
      <w:pPr>
        <w:spacing w:after="160" w:line="276" w:lineRule="auto"/>
        <w:jc w:val="right"/>
        <w:bidi w:val="1"/>
      </w:pPr>
      <w:r>
        <w:rPr>
          <w:rFonts w:ascii="Calibri" w:hAnsi="Calibri"/>
          <w:color w:val="1A202C"/>
          <w:sz w:val="22"/>
          <w:rtl w:val="1"/>
        </w:rPr>
        <w:t>يُعد سجل الموافقات من أهم مكونات المشروع؛ إذ يسجّل النظام لكل منتفع سجلاً كاملاً بموافقاته على استقبال الرسائل التجارية أو الدعائية، ويمكن أن يتضمن الحقول التالية:</w:t>
      </w:r>
    </w:p>
    <w:tbl>
      <w:tblPr>
        <w:tblStyle w:val="TableGrid"/>
        <w:tblW w:type="auto" w:w="0"/>
        <w:tblLayout w:type="autofit"/>
        <w:tblLook w:firstColumn="1" w:firstRow="1" w:lastColumn="0" w:lastRow="0" w:noHBand="0" w:noVBand="1" w:val="04A0"/>
      </w:tblPr>
      <w:tblGrid>
        <w:gridCol w:w="4320"/>
        <w:gridCol w:w="4320"/>
      </w:tblGrid>
      <w:tr>
        <w:tc>
          <w:tcPr>
            <w:tcW w:type="dxa" w:w="432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الحقل</w:t>
            </w:r>
          </w:p>
        </w:tc>
        <w:tc>
          <w:tcPr>
            <w:tcW w:type="dxa" w:w="432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مثال</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رقم المنتفع</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pPr>
            <w:r/>
            <w:r>
              <w:rPr>
                <w:rFonts w:ascii="Calibri" w:hAnsi="Calibri"/>
                <w:color w:val="1A202C"/>
                <w:sz w:val="20"/>
              </w:rPr>
              <w:t>9XXXXXXX</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الجهة</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شركة X</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تاريخ الموافقة</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pPr>
            <w:r/>
            <w:r>
              <w:rPr>
                <w:rFonts w:ascii="Calibri" w:hAnsi="Calibri"/>
                <w:color w:val="1A202C"/>
                <w:sz w:val="20"/>
              </w:rPr>
              <w:t>10/08/2026</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وقت الموافقة</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pPr>
            <w:r/>
            <w:r>
              <w:rPr>
                <w:rFonts w:ascii="Calibri" w:hAnsi="Calibri"/>
                <w:color w:val="1A202C"/>
                <w:sz w:val="20"/>
              </w:rPr>
              <w:t>10:32</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طريقة الموافقة</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موقع إلكتروني</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نوع الرسائل</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عروض تجارية</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حالة الموافقة</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سارية</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تاريخ الإلغاء</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pPr>
            <w:r/>
            <w:r>
              <w:rPr>
                <w:rFonts w:ascii="Calibri" w:hAnsi="Calibri"/>
                <w:color w:val="1A202C"/>
                <w:sz w:val="20"/>
              </w:rPr>
              <w:t>—</w:t>
            </w:r>
          </w:p>
        </w:tc>
      </w:tr>
    </w:tbl>
    <w:p>
      <w:pPr>
        <w:spacing w:after="120"/>
      </w:pPr>
    </w:p>
    <w:tbl>
      <w:tblPr>
        <w:tblW w:type="auto" w:w="0"/>
        <w:tblLook w:firstColumn="1" w:firstRow="1" w:lastColumn="0" w:lastRow="0" w:noHBand="0" w:noVBand="1" w:val="04A0"/>
      </w:tblPr>
      <w:tblGrid>
        <w:gridCol w:w="8640"/>
      </w:tblGrid>
      <w:tr>
        <w:tc>
          <w:tcPr>
            <w:tcW w:type="dxa" w:w="8640"/>
            <w:shd w:val="clear" w:color="auto" w:fill="FFFBEB"/>
            <w:tcBorders>
              <w:top w:val="single" w:sz="4" w:space="0" w:color="FFFBEB"/>
              <w:left w:val="single" w:sz="24" w:space="0" w:color="D97706"/>
              <w:bottom w:val="single" w:sz="4" w:space="0" w:color="FFFBEB"/>
              <w:right w:val="single" w:sz="4" w:space="0" w:color="FFFBEB"/>
            </w:tcBorders>
          </w:tcPr>
          <w:p>
            <w:pPr>
              <w:spacing w:before="120" w:after="120"/>
              <w:jc w:val="right"/>
              <w:bidi w:val="1"/>
            </w:pPr>
            <w:r>
              <w:rPr>
                <w:rFonts w:ascii="Calibri" w:hAnsi="Calibri"/>
                <w:b/>
                <w:color w:val="D97706"/>
                <w:sz w:val="18"/>
              </w:rPr>
              <w:t xml:space="preserve">WARNING  </w:t>
            </w:r>
            <w:r>
              <w:rPr>
                <w:rFonts w:ascii="Calibri" w:hAnsi="Calibri"/>
                <w:color w:val="1A202C"/>
                <w:sz w:val="20"/>
                <w:rtl w:val="1"/>
              </w:rPr>
              <w:t>المبدأ التشغيلي: لا توجد موافقة مسجلة = لا ينبغي اعتبار الحملة مستندة إلى موافقة مسجلة. وهذا يحوّل عبء الإثبات إلى الجهة المرسلة بدلاً من تحميل المنتفع عبء إثبات عدم موافقته.</w:t>
            </w:r>
          </w:p>
        </w:tc>
      </w:tr>
    </w:tbl>
    <w:p>
      <w:pPr>
        <w:spacing w:after="80"/>
      </w:pPr>
    </w:p>
    <w:p>
      <w:pPr>
        <w:pStyle w:val="Heading1"/>
        <w:spacing w:before="360" w:after="160"/>
        <w:jc w:val="right"/>
        <w:keepNext/>
        <w:bidi w:val="1"/>
        <w:pBdr>
          <w:bottom w:val="single" w:sz="12" w:space="6" w:color="B8956B"/>
        </w:pBdr>
      </w:pPr>
      <w:r>
        <w:rPr>
          <w:rFonts w:ascii="Calibri" w:hAnsi="Calibri"/>
          <w:b/>
          <w:color w:val="0A192F"/>
          <w:sz w:val="44"/>
          <w:rtl w:val="1"/>
        </w:rPr>
        <w:t>9. قائمة عدم الاتصال</w:t>
      </w:r>
    </w:p>
    <w:p>
      <w:pPr>
        <w:spacing w:after="160" w:line="276" w:lineRule="auto"/>
        <w:jc w:val="right"/>
        <w:bidi w:val="1"/>
      </w:pPr>
      <w:r>
        <w:rPr>
          <w:rFonts w:ascii="Calibri" w:hAnsi="Calibri"/>
          <w:color w:val="1A202C"/>
          <w:sz w:val="22"/>
          <w:rtl w:val="1"/>
        </w:rPr>
        <w:t>تُنشئ المنصة سجلاً وطنياً مركزياً باسم «قائمة عُمان لعدم استقبال الرسائل التجارية»، يمكن للمنتفع من خلاله:</w:t>
      </w:r>
    </w:p>
    <w:p>
      <w:pPr>
        <w:spacing w:after="60"/>
        <w:ind w:right="504"/>
        <w:jc w:val="right"/>
        <w:bidi w:val="1"/>
      </w:pPr>
      <w:r>
        <w:rPr>
          <w:rFonts w:ascii="Calibri" w:hAnsi="Calibri"/>
          <w:color w:val="1A202C"/>
          <w:sz w:val="22"/>
          <w:rtl w:val="1"/>
        </w:rPr>
        <w:t>إيقاف جميع الرسائل التجارية دفعة واحدة.</w:t>
      </w:r>
      <w:r>
        <w:rPr>
          <w:rFonts w:ascii="Calibri" w:hAnsi="Calibri"/>
          <w:color w:val="B8956B"/>
          <w:sz w:val="22"/>
        </w:rPr>
        <w:t xml:space="preserve">  •</w:t>
      </w:r>
    </w:p>
    <w:p>
      <w:pPr>
        <w:spacing w:after="60"/>
        <w:ind w:right="504"/>
        <w:jc w:val="right"/>
        <w:bidi w:val="1"/>
      </w:pPr>
      <w:r>
        <w:rPr>
          <w:rFonts w:ascii="Calibri" w:hAnsi="Calibri"/>
          <w:color w:val="1A202C"/>
          <w:sz w:val="22"/>
          <w:rtl w:val="1"/>
        </w:rPr>
        <w:t>إيقاف فئة محددة من الرسائل.</w:t>
      </w:r>
      <w:r>
        <w:rPr>
          <w:rFonts w:ascii="Calibri" w:hAnsi="Calibri"/>
          <w:color w:val="B8956B"/>
          <w:sz w:val="22"/>
        </w:rPr>
        <w:t xml:space="preserve">  •</w:t>
      </w:r>
    </w:p>
    <w:p>
      <w:pPr>
        <w:spacing w:after="60"/>
        <w:ind w:right="504"/>
        <w:jc w:val="right"/>
        <w:bidi w:val="1"/>
      </w:pPr>
      <w:r>
        <w:rPr>
          <w:rFonts w:ascii="Calibri" w:hAnsi="Calibri"/>
          <w:color w:val="1A202C"/>
          <w:sz w:val="22"/>
          <w:rtl w:val="1"/>
        </w:rPr>
        <w:t>إعادة السماح لجهة معينة وفق الضوابط.</w:t>
      </w:r>
      <w:r>
        <w:rPr>
          <w:rFonts w:ascii="Calibri" w:hAnsi="Calibri"/>
          <w:color w:val="B8956B"/>
          <w:sz w:val="22"/>
        </w:rPr>
        <w:t xml:space="preserve">  •</w:t>
      </w:r>
    </w:p>
    <w:p>
      <w:pPr>
        <w:spacing w:after="60"/>
        <w:ind w:right="504"/>
        <w:jc w:val="right"/>
        <w:bidi w:val="1"/>
      </w:pPr>
      <w:r>
        <w:rPr>
          <w:rFonts w:ascii="Calibri" w:hAnsi="Calibri"/>
          <w:color w:val="1A202C"/>
          <w:sz w:val="22"/>
          <w:rtl w:val="1"/>
        </w:rPr>
        <w:t>معرفة حالة طلب الإيقاف والاطلاع على تاريخ الطلب.</w:t>
      </w:r>
      <w:r>
        <w:rPr>
          <w:rFonts w:ascii="Calibri" w:hAnsi="Calibri"/>
          <w:color w:val="B8956B"/>
          <w:sz w:val="22"/>
        </w:rPr>
        <w:t xml:space="preserve">  •</w:t>
      </w:r>
    </w:p>
    <w:tbl>
      <w:tblPr>
        <w:tblW w:type="auto" w:w="0"/>
        <w:tblLook w:firstColumn="1" w:firstRow="1" w:lastColumn="0" w:lastRow="0" w:noHBand="0" w:noVBand="1" w:val="04A0"/>
      </w:tblPr>
      <w:tblGrid>
        <w:gridCol w:w="8640"/>
      </w:tblGrid>
      <w:tr>
        <w:tc>
          <w:tcPr>
            <w:tcW w:type="dxa" w:w="8640"/>
            <w:shd w:val="clear" w:color="auto" w:fill="F7F5F0"/>
            <w:tcBorders>
              <w:top w:val="single" w:sz="4" w:space="0" w:color="F7F5F0"/>
              <w:left w:val="single" w:sz="24" w:space="0" w:color="B8956B"/>
              <w:bottom w:val="single" w:sz="4" w:space="0" w:color="F7F5F0"/>
              <w:right w:val="single" w:sz="4" w:space="0" w:color="F7F5F0"/>
            </w:tcBorders>
          </w:tcPr>
          <w:p>
            <w:pPr>
              <w:spacing w:before="120" w:after="120"/>
              <w:jc w:val="right"/>
              <w:bidi w:val="1"/>
            </w:pPr>
            <w:r>
              <w:rPr>
                <w:rFonts w:ascii="Calibri" w:hAnsi="Calibri"/>
                <w:b/>
                <w:color w:val="B8956B"/>
                <w:sz w:val="18"/>
              </w:rPr>
              <w:t xml:space="preserve">INFO  </w:t>
            </w:r>
            <w:r>
              <w:rPr>
                <w:rFonts w:ascii="Calibri" w:hAnsi="Calibri"/>
                <w:color w:val="1A202C"/>
                <w:sz w:val="20"/>
                <w:rtl w:val="1"/>
              </w:rPr>
              <w:t>يتوافق ذلك مع مقترح «إلغاء واحد = إيقاف جميع الرسائل التجارية» الوارد في ملف بيانات الوكيل</w:t>
            </w:r>
          </w:p>
        </w:tc>
      </w:tr>
    </w:tbl>
    <w:p>
      <w:pPr>
        <w:spacing w:after="80"/>
      </w:pPr>
    </w:p>
    <w:p>
      <w:r>
        <w:br w:type="page"/>
      </w:r>
    </w:p>
    <w:p>
      <w:pPr>
        <w:pStyle w:val="Heading1"/>
        <w:spacing w:before="360" w:after="160"/>
        <w:jc w:val="right"/>
        <w:keepNext/>
        <w:bidi w:val="1"/>
        <w:pBdr>
          <w:bottom w:val="single" w:sz="12" w:space="6" w:color="B8956B"/>
        </w:pBdr>
      </w:pPr>
      <w:r>
        <w:rPr>
          <w:rFonts w:ascii="Calibri" w:hAnsi="Calibri"/>
          <w:b/>
          <w:color w:val="0A192F"/>
          <w:sz w:val="44"/>
          <w:rtl w:val="1"/>
        </w:rPr>
        <w:t>10. بوابة الجهات المرسلة</w:t>
      </w:r>
    </w:p>
    <w:p>
      <w:pPr>
        <w:spacing w:after="160" w:line="276" w:lineRule="auto"/>
        <w:jc w:val="right"/>
        <w:bidi w:val="1"/>
      </w:pPr>
      <w:r>
        <w:rPr>
          <w:rFonts w:ascii="Calibri" w:hAnsi="Calibri"/>
          <w:color w:val="1A202C"/>
          <w:sz w:val="22"/>
          <w:rtl w:val="1"/>
        </w:rPr>
        <w:t>بدلاً من التعامل مع مصدر مجهول، يكون لكل جهة مرسلة ملف رقمي موحد يتضمن: الاسم التجاري، السجل التجاري، المسؤول، رقم التواصل، مزوّد خدمة الرسائل، حجم الرسائل الشهري، مصدر أرقام المنتفعين، سياسة الموافقة، سياسة إلغاء الاشتراك، والجهات التي تنفذ الحملات نيابة عنها.</w:t>
      </w:r>
    </w:p>
    <w:p>
      <w:pPr>
        <w:spacing w:after="160" w:line="276" w:lineRule="auto"/>
        <w:jc w:val="right"/>
        <w:bidi w:val="1"/>
      </w:pPr>
      <w:r>
        <w:rPr>
          <w:rFonts w:ascii="Calibri" w:hAnsi="Calibri"/>
          <w:color w:val="1A202C"/>
          <w:sz w:val="22"/>
          <w:rtl w:val="1"/>
        </w:rPr>
        <w:t>يعالج هذا المكوّن المشكلة الأساسية المتمثلة في تعدد الأطراف في سلسلة الإرسال:</w:t>
      </w:r>
    </w:p>
    <w:tbl>
      <w:tblPr>
        <w:tblW w:type="auto" w:w="0"/>
        <w:tblLook w:firstColumn="1" w:firstRow="1" w:lastColumn="0" w:lastRow="0" w:noHBand="0" w:noVBand="1" w:val="04A0"/>
      </w:tblPr>
      <w:tblGrid>
        <w:gridCol w:w="8640"/>
      </w:tblGrid>
      <w:tr>
        <w:tc>
          <w:tcPr>
            <w:tcW w:type="dxa" w:w="8640"/>
            <w:shd w:val="clear" w:color="auto" w:fill="ECFDF5"/>
            <w:tcBorders>
              <w:top w:val="single" w:sz="4" w:space="0" w:color="ECFDF5"/>
              <w:left w:val="single" w:sz="24" w:space="0" w:color="059669"/>
              <w:bottom w:val="single" w:sz="4" w:space="0" w:color="ECFDF5"/>
              <w:right w:val="single" w:sz="4" w:space="0" w:color="ECFDF5"/>
            </w:tcBorders>
          </w:tcPr>
          <w:p>
            <w:pPr>
              <w:spacing w:before="120" w:after="120"/>
              <w:jc w:val="right"/>
              <w:bidi w:val="1"/>
            </w:pPr>
            <w:r>
              <w:rPr>
                <w:rFonts w:ascii="Calibri" w:hAnsi="Calibri"/>
                <w:b/>
                <w:color w:val="059669"/>
                <w:sz w:val="18"/>
              </w:rPr>
              <w:t xml:space="preserve">TIP  </w:t>
            </w:r>
            <w:r>
              <w:rPr>
                <w:rFonts w:ascii="Calibri" w:hAnsi="Calibri"/>
                <w:color w:val="1A202C"/>
                <w:sz w:val="20"/>
                <w:rtl w:val="1"/>
              </w:rPr>
              <w:t>المعلن ← شركة التسويق ← مزوّد الرسائل ← شركة الاتصالات ← المنتفع</w:t>
            </w:r>
          </w:p>
        </w:tc>
      </w:tr>
    </w:tbl>
    <w:p>
      <w:pPr>
        <w:spacing w:after="80"/>
      </w:pPr>
    </w:p>
    <w:p>
      <w:pPr>
        <w:pStyle w:val="Heading1"/>
        <w:spacing w:before="360" w:after="160"/>
        <w:jc w:val="right"/>
        <w:keepNext/>
        <w:bidi w:val="1"/>
        <w:pBdr>
          <w:bottom w:val="single" w:sz="12" w:space="6" w:color="B8956B"/>
        </w:pBdr>
      </w:pPr>
      <w:r>
        <w:rPr>
          <w:rFonts w:ascii="Calibri" w:hAnsi="Calibri"/>
          <w:b/>
          <w:color w:val="0A192F"/>
          <w:sz w:val="44"/>
          <w:rtl w:val="1"/>
        </w:rPr>
        <w:t>11. محرك المخاطر</w:t>
      </w:r>
    </w:p>
    <w:p>
      <w:pPr>
        <w:spacing w:after="160" w:line="276" w:lineRule="auto"/>
        <w:jc w:val="right"/>
        <w:bidi w:val="1"/>
      </w:pPr>
      <w:r>
        <w:rPr>
          <w:rFonts w:ascii="Calibri" w:hAnsi="Calibri"/>
          <w:color w:val="1A202C"/>
          <w:sz w:val="22"/>
          <w:rtl w:val="1"/>
        </w:rPr>
        <w:t>أحد أهم عناصر القيمة المضافة؛ يقوم النظام بتكوين درجة خطورة (Spam Risk Score) لكل مصدر إرسال، وفق عوامل التقييم التالية:</w:t>
      </w:r>
    </w:p>
    <w:tbl>
      <w:tblPr>
        <w:tblStyle w:val="TableGrid"/>
        <w:tblW w:type="auto" w:w="0"/>
        <w:tblLayout w:type="autofit"/>
        <w:tblLook w:firstColumn="1" w:firstRow="1" w:lastColumn="0" w:lastRow="0" w:noHBand="0" w:noVBand="1" w:val="04A0"/>
      </w:tblPr>
      <w:tblGrid>
        <w:gridCol w:w="4320"/>
        <w:gridCol w:w="4320"/>
      </w:tblGrid>
      <w:tr>
        <w:tc>
          <w:tcPr>
            <w:tcW w:type="dxa" w:w="432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العامل</w:t>
            </w:r>
          </w:p>
        </w:tc>
        <w:tc>
          <w:tcPr>
            <w:tcW w:type="dxa" w:w="432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التأثير</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عدد البلاغات</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مرتفع</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تكرار الرسائل</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مرتفع</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بلاغات الاحتيال</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مرتفع جداً</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الرسائل بعد الإلغاء</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مرتفع جداً</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عدم وضوح هوية المرسل</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مرتفع</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عدم وجود موافقة مسجلة</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مرتفع</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تعدد أرقام الإرسال</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متوسط</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سرعة الاستجابة للشكاوى</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عامل تخفيض</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معالجة المخالفات السابقة</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عامل تخفيض</w:t>
            </w:r>
          </w:p>
        </w:tc>
      </w:tr>
    </w:tbl>
    <w:p>
      <w:pPr>
        <w:spacing w:after="120"/>
      </w:pPr>
    </w:p>
    <w:p>
      <w:pPr>
        <w:pStyle w:val="Heading3"/>
        <w:spacing w:before="160" w:after="60"/>
        <w:jc w:val="right"/>
        <w:bidi w:val="1"/>
      </w:pPr>
      <w:r>
        <w:rPr>
          <w:rFonts w:ascii="Calibri" w:hAnsi="Calibri"/>
          <w:b/>
          <w:color w:val="2C5282"/>
          <w:sz w:val="24"/>
          <w:rtl w:val="1"/>
        </w:rPr>
        <w:t>تصنيف درجة الخطورة</w:t>
      </w:r>
    </w:p>
    <w:tbl>
      <w:tblPr>
        <w:tblStyle w:val="TableGrid"/>
        <w:tblW w:type="auto" w:w="0"/>
        <w:tblLayout w:type="autofit"/>
        <w:tblLook w:firstColumn="1" w:firstRow="1" w:lastColumn="0" w:lastRow="0" w:noHBand="0" w:noVBand="1" w:val="04A0"/>
      </w:tblPr>
      <w:tblGrid>
        <w:gridCol w:w="2880"/>
        <w:gridCol w:w="2880"/>
        <w:gridCol w:w="2880"/>
      </w:tblGrid>
      <w:tr>
        <w:tc>
          <w:tcPr>
            <w:tcW w:type="dxa" w:w="288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الدرجة</w:t>
            </w:r>
          </w:p>
        </w:tc>
        <w:tc>
          <w:tcPr>
            <w:tcW w:type="dxa" w:w="288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مستوى الخطورة</w:t>
            </w:r>
          </w:p>
        </w:tc>
        <w:tc>
          <w:tcPr>
            <w:tcW w:type="dxa" w:w="288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الإجراء</w:t>
            </w:r>
          </w:p>
        </w:tc>
      </w:tr>
      <w:tr>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pPr>
            <w:r/>
            <w:r>
              <w:rPr>
                <w:rFonts w:ascii="Calibri" w:hAnsi="Calibri"/>
                <w:color w:val="1A202C"/>
                <w:sz w:val="20"/>
              </w:rPr>
              <w:t>0–24</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منخفض</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متابعة</w:t>
            </w:r>
          </w:p>
        </w:tc>
      </w:tr>
      <w:tr>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pPr>
            <w:r/>
            <w:r>
              <w:rPr>
                <w:rFonts w:ascii="Calibri" w:hAnsi="Calibri"/>
                <w:color w:val="1A202C"/>
                <w:sz w:val="20"/>
              </w:rPr>
              <w:t>25–49</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متوسط</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مراقبة</w:t>
            </w:r>
          </w:p>
        </w:tc>
      </w:tr>
      <w:tr>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pPr>
            <w:r/>
            <w:r>
              <w:rPr>
                <w:rFonts w:ascii="Calibri" w:hAnsi="Calibri"/>
                <w:color w:val="1A202C"/>
                <w:sz w:val="20"/>
              </w:rPr>
              <w:t>50–74</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مرتفع</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تحقيق/إجراء</w:t>
            </w:r>
          </w:p>
        </w:tc>
      </w:tr>
      <w:tr>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pPr>
            <w:r/>
            <w:r>
              <w:rPr>
                <w:rFonts w:ascii="Calibri" w:hAnsi="Calibri"/>
                <w:color w:val="1A202C"/>
                <w:sz w:val="20"/>
              </w:rPr>
              <w:t>75–100</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حرج</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إنذار وإجراء تنظيمي عاجل</w:t>
            </w:r>
          </w:p>
        </w:tc>
      </w:tr>
    </w:tbl>
    <w:p>
      <w:pPr>
        <w:spacing w:after="120"/>
      </w:pPr>
    </w:p>
    <w:tbl>
      <w:tblPr>
        <w:tblW w:type="auto" w:w="0"/>
        <w:tblLook w:firstColumn="1" w:firstRow="1" w:lastColumn="0" w:lastRow="0" w:noHBand="0" w:noVBand="1" w:val="04A0"/>
      </w:tblPr>
      <w:tblGrid>
        <w:gridCol w:w="8640"/>
      </w:tblGrid>
      <w:tr>
        <w:tc>
          <w:tcPr>
            <w:tcW w:type="dxa" w:w="8640"/>
            <w:shd w:val="clear" w:color="auto" w:fill="FFFBEB"/>
            <w:tcBorders>
              <w:top w:val="single" w:sz="4" w:space="0" w:color="FFFBEB"/>
              <w:left w:val="single" w:sz="24" w:space="0" w:color="D97706"/>
              <w:bottom w:val="single" w:sz="4" w:space="0" w:color="FFFBEB"/>
              <w:right w:val="single" w:sz="4" w:space="0" w:color="FFFBEB"/>
            </w:tcBorders>
          </w:tcPr>
          <w:p>
            <w:pPr>
              <w:spacing w:before="120" w:after="120"/>
              <w:jc w:val="right"/>
              <w:bidi w:val="1"/>
            </w:pPr>
            <w:r>
              <w:rPr>
                <w:rFonts w:ascii="Calibri" w:hAnsi="Calibri"/>
                <w:b/>
                <w:color w:val="D97706"/>
                <w:sz w:val="18"/>
              </w:rPr>
              <w:t xml:space="preserve">WARNING  </w:t>
            </w:r>
            <w:r>
              <w:rPr>
                <w:rFonts w:ascii="Calibri" w:hAnsi="Calibri"/>
                <w:color w:val="1A202C"/>
                <w:sz w:val="20"/>
                <w:rtl w:val="1"/>
              </w:rPr>
              <w:t>هذه الدرجات مقترحة للتصميم الأولي وليست درجات تنظيمية نافذة؛ ويتم اعتمادها لاحقاً من الهيئة.</w:t>
            </w:r>
          </w:p>
        </w:tc>
      </w:tr>
    </w:tbl>
    <w:p>
      <w:pPr>
        <w:spacing w:after="80"/>
      </w:pPr>
    </w:p>
    <w:p>
      <w:pPr>
        <w:pStyle w:val="Heading1"/>
        <w:spacing w:before="360" w:after="160"/>
        <w:jc w:val="right"/>
        <w:keepNext/>
        <w:bidi w:val="1"/>
        <w:pBdr>
          <w:bottom w:val="single" w:sz="12" w:space="6" w:color="B8956B"/>
        </w:pBdr>
      </w:pPr>
      <w:r>
        <w:rPr>
          <w:rFonts w:ascii="Calibri" w:hAnsi="Calibri"/>
          <w:b/>
          <w:color w:val="0A192F"/>
          <w:sz w:val="44"/>
          <w:rtl w:val="1"/>
        </w:rPr>
        <w:t>12. تصنيف المخالفات</w:t>
      </w:r>
    </w:p>
    <w:p>
      <w:pPr>
        <w:spacing w:after="160" w:line="276" w:lineRule="auto"/>
        <w:jc w:val="right"/>
        <w:bidi w:val="1"/>
      </w:pPr>
      <w:r>
        <w:rPr>
          <w:rFonts w:ascii="Calibri" w:hAnsi="Calibri"/>
          <w:color w:val="1A202C"/>
          <w:sz w:val="22"/>
          <w:rtl w:val="1"/>
        </w:rPr>
        <w:t>يمكن أن يتضمن النظام أربعة مستويات للمخالفات، وفق الإطار المقترح في ملف بيانات الوكيل:</w:t>
      </w:r>
    </w:p>
    <w:tbl>
      <w:tblPr>
        <w:tblStyle w:val="TableGrid"/>
        <w:tblW w:type="auto" w:w="0"/>
        <w:tblLayout w:type="autofit"/>
        <w:tblLook w:firstColumn="1" w:firstRow="1" w:lastColumn="0" w:lastRow="0" w:noHBand="0" w:noVBand="1" w:val="04A0"/>
      </w:tblPr>
      <w:tblGrid>
        <w:gridCol w:w="2880"/>
        <w:gridCol w:w="2880"/>
        <w:gridCol w:w="2880"/>
      </w:tblGrid>
      <w:tr>
        <w:tc>
          <w:tcPr>
            <w:tcW w:type="dxa" w:w="288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المستوى</w:t>
            </w:r>
          </w:p>
        </w:tc>
        <w:tc>
          <w:tcPr>
            <w:tcW w:type="dxa" w:w="288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المثال</w:t>
            </w:r>
          </w:p>
        </w:tc>
        <w:tc>
          <w:tcPr>
            <w:tcW w:type="dxa" w:w="288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الإجراء المقترح</w:t>
            </w:r>
          </w:p>
        </w:tc>
      </w:tr>
      <w:tr>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الأول</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رسالة دون موافقة</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تنبيه وتصحيح</w:t>
            </w:r>
          </w:p>
        </w:tc>
      </w:tr>
      <w:tr>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الثاني</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تكرار المخالفة</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إجراء مالي/خطة تصحيح</w:t>
            </w:r>
          </w:p>
        </w:tc>
      </w:tr>
      <w:tr>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الثالث</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الاستمرار بعد الإلغاء</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إجراء أعلى ووقف الحملة</w:t>
            </w:r>
          </w:p>
        </w:tc>
      </w:tr>
      <w:tr>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الرابع</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إساءة متعمدة/انتحال/تحايل</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إجراءات مشددة وإحالة عند الحاجة</w:t>
            </w:r>
          </w:p>
        </w:tc>
      </w:tr>
    </w:tbl>
    <w:p>
      <w:pPr>
        <w:spacing w:after="120"/>
      </w:pPr>
    </w:p>
    <w:p>
      <w:pPr>
        <w:pStyle w:val="Heading1"/>
        <w:spacing w:before="360" w:after="160"/>
        <w:jc w:val="right"/>
        <w:keepNext/>
        <w:bidi w:val="1"/>
        <w:pBdr>
          <w:bottom w:val="single" w:sz="12" w:space="6" w:color="B8956B"/>
        </w:pBdr>
      </w:pPr>
      <w:r>
        <w:rPr>
          <w:rFonts w:ascii="Calibri" w:hAnsi="Calibri"/>
          <w:b/>
          <w:color w:val="0A192F"/>
          <w:sz w:val="44"/>
          <w:rtl w:val="1"/>
        </w:rPr>
        <w:t>13. لوحة مؤشرات الهيئة (Dashboard)</w:t>
      </w:r>
    </w:p>
    <w:p>
      <w:pPr>
        <w:spacing w:after="160" w:line="276" w:lineRule="auto"/>
        <w:jc w:val="right"/>
        <w:bidi w:val="1"/>
      </w:pPr>
      <w:r>
        <w:rPr>
          <w:rFonts w:ascii="Calibri" w:hAnsi="Calibri"/>
          <w:color w:val="1A202C"/>
          <w:sz w:val="22"/>
          <w:rtl w:val="1"/>
        </w:rPr>
        <w:t>تعرض لوحة المؤشرات للإدارة العليا والمؤسسات المختصة نظرة لحظية على أداء المنصة وحالة السوق، وتشمل مؤشرات أولية مقترحة للتصميم:</w:t>
      </w:r>
    </w:p>
    <w:tbl>
      <w:tblPr>
        <w:tblStyle w:val="TableGrid"/>
        <w:tblW w:type="auto" w:w="0"/>
        <w:tblLayout w:type="autofit"/>
        <w:tblLook w:firstColumn="1" w:firstRow="1" w:lastColumn="0" w:lastRow="0" w:noHBand="0" w:noVBand="1" w:val="04A0"/>
      </w:tblPr>
      <w:tblGrid>
        <w:gridCol w:w="4320"/>
        <w:gridCol w:w="4320"/>
      </w:tblGrid>
      <w:tr>
        <w:tc>
          <w:tcPr>
            <w:tcW w:type="dxa" w:w="432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المؤشر</w:t>
            </w:r>
          </w:p>
        </w:tc>
        <w:tc>
          <w:tcPr>
            <w:tcW w:type="dxa" w:w="432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القيمة</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إجمالي البلاغات</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pPr>
            <w:r/>
            <w:r>
              <w:rPr>
                <w:rFonts w:ascii="Calibri" w:hAnsi="Calibri"/>
                <w:color w:val="1A202C"/>
                <w:sz w:val="20"/>
              </w:rPr>
              <w:t>12,450</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الرسائل المبلغ عنها</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pPr>
            <w:r/>
            <w:r>
              <w:rPr>
                <w:rFonts w:ascii="Calibri" w:hAnsi="Calibri"/>
                <w:color w:val="1A202C"/>
                <w:sz w:val="20"/>
              </w:rPr>
              <w:t>31,200</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الرسائل بعد الإلغاء</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pPr>
            <w:r/>
            <w:r>
              <w:rPr>
                <w:rFonts w:ascii="Calibri" w:hAnsi="Calibri"/>
                <w:color w:val="1A202C"/>
                <w:sz w:val="20"/>
              </w:rPr>
              <w:t>1,250</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الجهات الأكثر مخالفة</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pPr>
            <w:r/>
            <w:r>
              <w:rPr>
                <w:rFonts w:ascii="Calibri" w:hAnsi="Calibri"/>
                <w:color w:val="1A202C"/>
                <w:sz w:val="20"/>
              </w:rPr>
              <w:t>10</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المصادر الأكثر بلاغاً</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pPr>
            <w:r/>
            <w:r>
              <w:rPr>
                <w:rFonts w:ascii="Calibri" w:hAnsi="Calibri"/>
                <w:color w:val="1A202C"/>
                <w:sz w:val="20"/>
              </w:rPr>
              <w:t>20</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الرسائل الاحتيالية</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pPr>
            <w:r/>
            <w:r>
              <w:rPr>
                <w:rFonts w:ascii="Calibri" w:hAnsi="Calibri"/>
                <w:color w:val="1A202C"/>
                <w:sz w:val="20"/>
              </w:rPr>
              <w:t>%</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الرسائل التسويقية</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pPr>
            <w:r/>
            <w:r>
              <w:rPr>
                <w:rFonts w:ascii="Calibri" w:hAnsi="Calibri"/>
                <w:color w:val="1A202C"/>
                <w:sz w:val="20"/>
              </w:rPr>
              <w:t>%</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متوسط معالجة البلاغ</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يوم</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المخالفات المؤكدة</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عدد</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المصادر المحظورة</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عدد</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المصادر العائدة للمخالفة</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عدد</w:t>
            </w:r>
          </w:p>
        </w:tc>
      </w:tr>
    </w:tbl>
    <w:p>
      <w:pPr>
        <w:spacing w:after="120"/>
      </w:pPr>
    </w:p>
    <w:tbl>
      <w:tblPr>
        <w:tblW w:type="auto" w:w="0"/>
        <w:tblLook w:firstColumn="1" w:firstRow="1" w:lastColumn="0" w:lastRow="0" w:noHBand="0" w:noVBand="1" w:val="04A0"/>
      </w:tblPr>
      <w:tblGrid>
        <w:gridCol w:w="8640"/>
      </w:tblGrid>
      <w:tr>
        <w:tc>
          <w:tcPr>
            <w:tcW w:type="dxa" w:w="8640"/>
            <w:shd w:val="clear" w:color="auto" w:fill="F7F5F0"/>
            <w:tcBorders>
              <w:top w:val="single" w:sz="4" w:space="0" w:color="F7F5F0"/>
              <w:left w:val="single" w:sz="24" w:space="0" w:color="B8956B"/>
              <w:bottom w:val="single" w:sz="4" w:space="0" w:color="F7F5F0"/>
              <w:right w:val="single" w:sz="4" w:space="0" w:color="F7F5F0"/>
            </w:tcBorders>
          </w:tcPr>
          <w:p>
            <w:pPr>
              <w:spacing w:before="120" w:after="120"/>
              <w:jc w:val="right"/>
              <w:bidi w:val="1"/>
            </w:pPr>
            <w:r>
              <w:rPr>
                <w:rFonts w:ascii="Calibri" w:hAnsi="Calibri"/>
                <w:b/>
                <w:color w:val="B8956B"/>
                <w:sz w:val="18"/>
              </w:rPr>
              <w:t xml:space="preserve">INFO  </w:t>
            </w:r>
            <w:r>
              <w:rPr>
                <w:rFonts w:ascii="Calibri" w:hAnsi="Calibri"/>
                <w:color w:val="1A202C"/>
                <w:sz w:val="20"/>
                <w:rtl w:val="1"/>
              </w:rPr>
              <w:t>يتماشى ذلك مع مقترح لوحة National Anti-SPAM Dashboard الوارد في ملف بيانات الوكيل</w:t>
            </w:r>
          </w:p>
        </w:tc>
      </w:tr>
    </w:tbl>
    <w:p>
      <w:pPr>
        <w:spacing w:after="80"/>
      </w:pPr>
    </w:p>
    <w:p>
      <w:pPr>
        <w:pStyle w:val="Heading1"/>
        <w:spacing w:before="360" w:after="160"/>
        <w:jc w:val="right"/>
        <w:keepNext/>
        <w:bidi w:val="1"/>
        <w:pBdr>
          <w:bottom w:val="single" w:sz="12" w:space="6" w:color="B8956B"/>
        </w:pBdr>
      </w:pPr>
      <w:r>
        <w:rPr>
          <w:rFonts w:ascii="Calibri" w:hAnsi="Calibri"/>
          <w:b/>
          <w:color w:val="0A192F"/>
          <w:sz w:val="44"/>
          <w:rtl w:val="1"/>
        </w:rPr>
        <w:t>14. نظام الإنذار المبكر</w:t>
      </w:r>
    </w:p>
    <w:p>
      <w:pPr>
        <w:spacing w:after="160" w:line="276" w:lineRule="auto"/>
        <w:jc w:val="right"/>
        <w:bidi w:val="1"/>
      </w:pPr>
      <w:r>
        <w:rPr>
          <w:rFonts w:ascii="Calibri" w:hAnsi="Calibri"/>
          <w:color w:val="1A202C"/>
          <w:sz w:val="22"/>
          <w:rtl w:val="1"/>
        </w:rPr>
        <w:t>بدلاً من انتظار مئات الشكاوى، يراقب النظام الأنماط ويكشف الحالات الشاذة قبل توسعها، وفق المسار التالي:</w:t>
      </w:r>
    </w:p>
    <w:p>
      <w:pPr>
        <w:spacing w:after="60"/>
        <w:ind w:right="504"/>
        <w:jc w:val="right"/>
        <w:bidi w:val="1"/>
      </w:pPr>
      <w:r>
        <w:rPr>
          <w:rFonts w:ascii="Calibri" w:hAnsi="Calibri"/>
          <w:color w:val="1A202C"/>
          <w:sz w:val="22"/>
          <w:rtl w:val="1"/>
        </w:rPr>
        <w:t>ارتفاع مفاجئ في الرسائل من رقم معين.</w:t>
      </w:r>
      <w:r>
        <w:rPr>
          <w:rFonts w:ascii="Calibri" w:hAnsi="Calibri"/>
          <w:color w:val="B8956B"/>
          <w:sz w:val="22"/>
        </w:rPr>
        <w:t xml:space="preserve">  1.</w:t>
      </w:r>
    </w:p>
    <w:p>
      <w:pPr>
        <w:spacing w:after="60"/>
        <w:ind w:right="504"/>
        <w:jc w:val="right"/>
        <w:bidi w:val="1"/>
      </w:pPr>
      <w:r>
        <w:rPr>
          <w:rFonts w:ascii="Calibri" w:hAnsi="Calibri"/>
          <w:color w:val="1A202C"/>
          <w:sz w:val="22"/>
          <w:rtl w:val="1"/>
        </w:rPr>
        <w:t>ارتفاع عدد البلاغات المرتبطة بالمصدر.</w:t>
      </w:r>
      <w:r>
        <w:rPr>
          <w:rFonts w:ascii="Calibri" w:hAnsi="Calibri"/>
          <w:color w:val="B8956B"/>
          <w:sz w:val="22"/>
        </w:rPr>
        <w:t xml:space="preserve">  2.</w:t>
      </w:r>
    </w:p>
    <w:p>
      <w:pPr>
        <w:spacing w:after="60"/>
        <w:ind w:right="504"/>
        <w:jc w:val="right"/>
        <w:bidi w:val="1"/>
      </w:pPr>
      <w:r>
        <w:rPr>
          <w:rFonts w:ascii="Calibri" w:hAnsi="Calibri"/>
          <w:color w:val="1A202C"/>
          <w:sz w:val="22"/>
          <w:rtl w:val="1"/>
        </w:rPr>
        <w:t>اكتشاف عدة أرقام مرتبطة بنفس الجهة.</w:t>
      </w:r>
      <w:r>
        <w:rPr>
          <w:rFonts w:ascii="Calibri" w:hAnsi="Calibri"/>
          <w:color w:val="B8956B"/>
          <w:sz w:val="22"/>
        </w:rPr>
        <w:t xml:space="preserve">  3.</w:t>
      </w:r>
    </w:p>
    <w:p>
      <w:pPr>
        <w:spacing w:after="60"/>
        <w:ind w:right="504"/>
        <w:jc w:val="right"/>
        <w:bidi w:val="1"/>
      </w:pPr>
      <w:r>
        <w:rPr>
          <w:rFonts w:ascii="Calibri" w:hAnsi="Calibri"/>
          <w:color w:val="1A202C"/>
          <w:sz w:val="22"/>
          <w:rtl w:val="1"/>
        </w:rPr>
        <w:t>ارتفاع درجة خطورة المصدر.</w:t>
      </w:r>
      <w:r>
        <w:rPr>
          <w:rFonts w:ascii="Calibri" w:hAnsi="Calibri"/>
          <w:color w:val="B8956B"/>
          <w:sz w:val="22"/>
        </w:rPr>
        <w:t xml:space="preserve">  4.</w:t>
      </w:r>
    </w:p>
    <w:p>
      <w:pPr>
        <w:spacing w:after="60"/>
        <w:ind w:right="504"/>
        <w:jc w:val="right"/>
        <w:bidi w:val="1"/>
      </w:pPr>
      <w:r>
        <w:rPr>
          <w:rFonts w:ascii="Calibri" w:hAnsi="Calibri"/>
          <w:color w:val="1A202C"/>
          <w:sz w:val="22"/>
          <w:rtl w:val="1"/>
        </w:rPr>
        <w:t>إنشاء إنذار تلقائي.</w:t>
      </w:r>
      <w:r>
        <w:rPr>
          <w:rFonts w:ascii="Calibri" w:hAnsi="Calibri"/>
          <w:color w:val="B8956B"/>
          <w:sz w:val="22"/>
        </w:rPr>
        <w:t xml:space="preserve">  5.</w:t>
      </w:r>
    </w:p>
    <w:p>
      <w:pPr>
        <w:spacing w:after="60"/>
        <w:ind w:right="504"/>
        <w:jc w:val="right"/>
        <w:bidi w:val="1"/>
      </w:pPr>
      <w:r>
        <w:rPr>
          <w:rFonts w:ascii="Calibri" w:hAnsi="Calibri"/>
          <w:color w:val="1A202C"/>
          <w:sz w:val="22"/>
          <w:rtl w:val="1"/>
        </w:rPr>
        <w:t>فتح تحقيق.</w:t>
      </w:r>
      <w:r>
        <w:rPr>
          <w:rFonts w:ascii="Calibri" w:hAnsi="Calibri"/>
          <w:color w:val="B8956B"/>
          <w:sz w:val="22"/>
        </w:rPr>
        <w:t xml:space="preserve">  6.</w:t>
      </w:r>
    </w:p>
    <w:tbl>
      <w:tblPr>
        <w:tblW w:type="auto" w:w="0"/>
        <w:tblLook w:firstColumn="1" w:firstRow="1" w:lastColumn="0" w:lastRow="0" w:noHBand="0" w:noVBand="1" w:val="04A0"/>
      </w:tblPr>
      <w:tblGrid>
        <w:gridCol w:w="8640"/>
      </w:tblGrid>
      <w:tr>
        <w:tc>
          <w:tcPr>
            <w:tcW w:type="dxa" w:w="8640"/>
            <w:shd w:val="clear" w:color="auto" w:fill="ECFDF5"/>
            <w:tcBorders>
              <w:top w:val="single" w:sz="4" w:space="0" w:color="ECFDF5"/>
              <w:left w:val="single" w:sz="24" w:space="0" w:color="059669"/>
              <w:bottom w:val="single" w:sz="4" w:space="0" w:color="ECFDF5"/>
              <w:right w:val="single" w:sz="4" w:space="0" w:color="ECFDF5"/>
            </w:tcBorders>
          </w:tcPr>
          <w:p>
            <w:pPr>
              <w:spacing w:before="120" w:after="120"/>
              <w:jc w:val="right"/>
              <w:bidi w:val="1"/>
            </w:pPr>
            <w:r>
              <w:rPr>
                <w:rFonts w:ascii="Calibri" w:hAnsi="Calibri"/>
                <w:b/>
                <w:color w:val="059669"/>
                <w:sz w:val="18"/>
              </w:rPr>
              <w:t xml:space="preserve">TIP  </w:t>
            </w:r>
            <w:r>
              <w:rPr>
                <w:rFonts w:ascii="Calibri" w:hAnsi="Calibri"/>
                <w:color w:val="1A202C"/>
                <w:sz w:val="20"/>
                <w:rtl w:val="1"/>
              </w:rPr>
              <w:t>النتيجة: تتحول المنصة من نظام شكاوى إلى نظام رقابة وتنظيم واستباق للمخالفات.</w:t>
            </w:r>
          </w:p>
        </w:tc>
      </w:tr>
    </w:tbl>
    <w:p>
      <w:pPr>
        <w:spacing w:after="80"/>
      </w:pPr>
    </w:p>
    <w:p>
      <w:r>
        <w:br w:type="page"/>
      </w:r>
    </w:p>
    <w:p>
      <w:pPr>
        <w:pStyle w:val="Heading1"/>
        <w:spacing w:before="360" w:after="160"/>
        <w:jc w:val="right"/>
        <w:keepNext/>
        <w:bidi w:val="1"/>
        <w:pBdr>
          <w:bottom w:val="single" w:sz="12" w:space="6" w:color="B8956B"/>
        </w:pBdr>
      </w:pPr>
      <w:r>
        <w:rPr>
          <w:rFonts w:ascii="Calibri" w:hAnsi="Calibri"/>
          <w:b/>
          <w:color w:val="0A192F"/>
          <w:sz w:val="44"/>
          <w:rtl w:val="1"/>
        </w:rPr>
        <w:t>15. الذكاء الاصطناعي</w:t>
      </w:r>
    </w:p>
    <w:p>
      <w:pPr>
        <w:spacing w:after="160" w:line="276" w:lineRule="auto"/>
        <w:jc w:val="right"/>
        <w:bidi w:val="1"/>
      </w:pPr>
      <w:r>
        <w:rPr>
          <w:rFonts w:ascii="Calibri" w:hAnsi="Calibri"/>
          <w:color w:val="1A202C"/>
          <w:sz w:val="22"/>
          <w:rtl w:val="1"/>
        </w:rPr>
        <w:t>لا يُقترح جعل الذكاء الاصطناعي أساس النسخة الأولى، بل تهيئة المنصة له على مرحلتين:</w:t>
      </w:r>
    </w:p>
    <w:p>
      <w:pPr>
        <w:pStyle w:val="Heading3"/>
        <w:spacing w:before="160" w:after="60"/>
        <w:jc w:val="right"/>
        <w:bidi w:val="1"/>
      </w:pPr>
      <w:r>
        <w:rPr>
          <w:rFonts w:ascii="Calibri" w:hAnsi="Calibri"/>
          <w:b/>
          <w:color w:val="2C5282"/>
          <w:sz w:val="24"/>
          <w:rtl w:val="1"/>
        </w:rPr>
        <w:t>المرحلة الأولى: قواعد ومؤشرات</w:t>
      </w:r>
    </w:p>
    <w:p>
      <w:pPr>
        <w:spacing w:after="60"/>
        <w:ind w:right="504"/>
        <w:jc w:val="right"/>
        <w:bidi w:val="1"/>
      </w:pPr>
      <w:r>
        <w:rPr>
          <w:rFonts w:ascii="Calibri" w:hAnsi="Calibri"/>
          <w:color w:val="1A202C"/>
          <w:sz w:val="22"/>
          <w:rtl w:val="1"/>
        </w:rPr>
        <w:t>قواعد تصنيف.</w:t>
      </w:r>
      <w:r>
        <w:rPr>
          <w:rFonts w:ascii="Calibri" w:hAnsi="Calibri"/>
          <w:color w:val="B8956B"/>
          <w:sz w:val="22"/>
        </w:rPr>
        <w:t xml:space="preserve">  •</w:t>
      </w:r>
    </w:p>
    <w:p>
      <w:pPr>
        <w:spacing w:after="60"/>
        <w:ind w:right="504"/>
        <w:jc w:val="right"/>
        <w:bidi w:val="1"/>
      </w:pPr>
      <w:r>
        <w:rPr>
          <w:rFonts w:ascii="Calibri" w:hAnsi="Calibri"/>
          <w:color w:val="1A202C"/>
          <w:sz w:val="22"/>
          <w:rtl w:val="1"/>
        </w:rPr>
        <w:t>مؤشرات.</w:t>
      </w:r>
      <w:r>
        <w:rPr>
          <w:rFonts w:ascii="Calibri" w:hAnsi="Calibri"/>
          <w:color w:val="B8956B"/>
          <w:sz w:val="22"/>
        </w:rPr>
        <w:t xml:space="preserve">  •</w:t>
      </w:r>
    </w:p>
    <w:p>
      <w:pPr>
        <w:spacing w:after="60"/>
        <w:ind w:right="504"/>
        <w:jc w:val="right"/>
        <w:bidi w:val="1"/>
      </w:pPr>
      <w:r>
        <w:rPr>
          <w:rFonts w:ascii="Calibri" w:hAnsi="Calibri"/>
          <w:color w:val="1A202C"/>
          <w:sz w:val="22"/>
          <w:rtl w:val="1"/>
        </w:rPr>
        <w:t>مطابقة البيانات.</w:t>
      </w:r>
      <w:r>
        <w:rPr>
          <w:rFonts w:ascii="Calibri" w:hAnsi="Calibri"/>
          <w:color w:val="B8956B"/>
          <w:sz w:val="22"/>
        </w:rPr>
        <w:t xml:space="preserve">  •</w:t>
      </w:r>
    </w:p>
    <w:p>
      <w:pPr>
        <w:spacing w:after="60"/>
        <w:ind w:right="504"/>
        <w:jc w:val="right"/>
        <w:bidi w:val="1"/>
      </w:pPr>
      <w:r>
        <w:rPr>
          <w:rFonts w:ascii="Calibri" w:hAnsi="Calibri"/>
          <w:color w:val="1A202C"/>
          <w:sz w:val="22"/>
          <w:rtl w:val="1"/>
        </w:rPr>
        <w:t>تحليل التكرار.</w:t>
      </w:r>
      <w:r>
        <w:rPr>
          <w:rFonts w:ascii="Calibri" w:hAnsi="Calibri"/>
          <w:color w:val="B8956B"/>
          <w:sz w:val="22"/>
        </w:rPr>
        <w:t xml:space="preserve">  •</w:t>
      </w:r>
    </w:p>
    <w:p>
      <w:pPr>
        <w:spacing w:after="60"/>
        <w:ind w:right="504"/>
        <w:jc w:val="right"/>
        <w:bidi w:val="1"/>
      </w:pPr>
      <w:r>
        <w:rPr>
          <w:rFonts w:ascii="Calibri" w:hAnsi="Calibri"/>
          <w:color w:val="1A202C"/>
          <w:sz w:val="22"/>
          <w:rtl w:val="1"/>
        </w:rPr>
        <w:t>قواعد المخاطر.</w:t>
      </w:r>
      <w:r>
        <w:rPr>
          <w:rFonts w:ascii="Calibri" w:hAnsi="Calibri"/>
          <w:color w:val="B8956B"/>
          <w:sz w:val="22"/>
        </w:rPr>
        <w:t xml:space="preserve">  •</w:t>
      </w:r>
    </w:p>
    <w:p>
      <w:pPr>
        <w:pStyle w:val="Heading3"/>
        <w:spacing w:before="160" w:after="60"/>
        <w:jc w:val="right"/>
        <w:bidi w:val="1"/>
      </w:pPr>
      <w:r>
        <w:rPr>
          <w:rFonts w:ascii="Calibri" w:hAnsi="Calibri"/>
          <w:b/>
          <w:color w:val="2C5282"/>
          <w:sz w:val="24"/>
          <w:rtl w:val="1"/>
        </w:rPr>
        <w:t>المرحلة المستقبلية: تحليلات ذكية</w:t>
      </w:r>
    </w:p>
    <w:p>
      <w:pPr>
        <w:spacing w:after="60"/>
        <w:ind w:right="504"/>
        <w:jc w:val="right"/>
        <w:bidi w:val="1"/>
      </w:pPr>
      <w:r>
        <w:rPr>
          <w:rFonts w:ascii="Calibri" w:hAnsi="Calibri"/>
          <w:color w:val="1A202C"/>
          <w:sz w:val="22"/>
          <w:rtl w:val="1"/>
        </w:rPr>
        <w:t>تحليل نصوص الرسائل والروابط المشبوهة.</w:t>
      </w:r>
      <w:r>
        <w:rPr>
          <w:rFonts w:ascii="Calibri" w:hAnsi="Calibri"/>
          <w:color w:val="B8956B"/>
          <w:sz w:val="22"/>
        </w:rPr>
        <w:t xml:space="preserve">  •</w:t>
      </w:r>
    </w:p>
    <w:p>
      <w:pPr>
        <w:spacing w:after="60"/>
        <w:ind w:right="504"/>
        <w:jc w:val="right"/>
        <w:bidi w:val="1"/>
      </w:pPr>
      <w:r>
        <w:rPr>
          <w:rFonts w:ascii="Calibri" w:hAnsi="Calibri"/>
          <w:color w:val="1A202C"/>
          <w:sz w:val="22"/>
          <w:rtl w:val="1"/>
        </w:rPr>
        <w:t>كشف الأنماط المتكررة وتشابه الحملات.</w:t>
      </w:r>
      <w:r>
        <w:rPr>
          <w:rFonts w:ascii="Calibri" w:hAnsi="Calibri"/>
          <w:color w:val="B8956B"/>
          <w:sz w:val="22"/>
        </w:rPr>
        <w:t xml:space="preserve">  •</w:t>
      </w:r>
    </w:p>
    <w:p>
      <w:pPr>
        <w:spacing w:after="60"/>
        <w:ind w:right="504"/>
        <w:jc w:val="right"/>
        <w:bidi w:val="1"/>
      </w:pPr>
      <w:r>
        <w:rPr>
          <w:rFonts w:ascii="Calibri" w:hAnsi="Calibri"/>
          <w:color w:val="1A202C"/>
          <w:sz w:val="22"/>
          <w:rtl w:val="1"/>
        </w:rPr>
        <w:t>ربط مصادر متعددة بجهة واحدة.</w:t>
      </w:r>
      <w:r>
        <w:rPr>
          <w:rFonts w:ascii="Calibri" w:hAnsi="Calibri"/>
          <w:color w:val="B8956B"/>
          <w:sz w:val="22"/>
        </w:rPr>
        <w:t xml:space="preserve">  •</w:t>
      </w:r>
    </w:p>
    <w:p>
      <w:pPr>
        <w:spacing w:after="60"/>
        <w:ind w:right="504"/>
        <w:jc w:val="right"/>
        <w:bidi w:val="1"/>
      </w:pPr>
      <w:r>
        <w:rPr>
          <w:rFonts w:ascii="Calibri" w:hAnsi="Calibri"/>
          <w:color w:val="1A202C"/>
          <w:sz w:val="22"/>
          <w:rtl w:val="1"/>
        </w:rPr>
        <w:t>تقدير احتمالية الاحتيال والتنبؤ بالمصادر عالية الخطورة.</w:t>
      </w:r>
      <w:r>
        <w:rPr>
          <w:rFonts w:ascii="Calibri" w:hAnsi="Calibri"/>
          <w:color w:val="B8956B"/>
          <w:sz w:val="22"/>
        </w:rPr>
        <w:t xml:space="preserve">  •</w:t>
      </w:r>
    </w:p>
    <w:tbl>
      <w:tblPr>
        <w:tblW w:type="auto" w:w="0"/>
        <w:tblLook w:firstColumn="1" w:firstRow="1" w:lastColumn="0" w:lastRow="0" w:noHBand="0" w:noVBand="1" w:val="04A0"/>
      </w:tblPr>
      <w:tblGrid>
        <w:gridCol w:w="8640"/>
      </w:tblGrid>
      <w:tr>
        <w:tc>
          <w:tcPr>
            <w:tcW w:type="dxa" w:w="8640"/>
            <w:shd w:val="clear" w:color="auto" w:fill="F7F5F0"/>
            <w:tcBorders>
              <w:top w:val="single" w:sz="4" w:space="0" w:color="F7F5F0"/>
              <w:left w:val="single" w:sz="24" w:space="0" w:color="B8956B"/>
              <w:bottom w:val="single" w:sz="4" w:space="0" w:color="F7F5F0"/>
              <w:right w:val="single" w:sz="4" w:space="0" w:color="F7F5F0"/>
            </w:tcBorders>
          </w:tcPr>
          <w:p>
            <w:pPr>
              <w:spacing w:before="120" w:after="120"/>
              <w:jc w:val="right"/>
              <w:bidi w:val="1"/>
            </w:pPr>
            <w:r>
              <w:rPr>
                <w:rFonts w:ascii="Calibri" w:hAnsi="Calibri"/>
                <w:b/>
                <w:color w:val="B8956B"/>
                <w:sz w:val="18"/>
              </w:rPr>
              <w:t xml:space="preserve">INFO  </w:t>
            </w:r>
            <w:r>
              <w:rPr>
                <w:rFonts w:ascii="Calibri" w:hAnsi="Calibri"/>
                <w:color w:val="1A202C"/>
                <w:sz w:val="20"/>
                <w:rtl w:val="1"/>
              </w:rPr>
              <w:t>يتوافق ذلك مع التوجه المنشور من الهيئة ضمن مشروع تعديل اللائحة لعام 2026 الذي يتضمن فصلاً خاصاً باستخدام تقنيات الذكاء الاصطناعي.</w:t>
            </w:r>
          </w:p>
        </w:tc>
      </w:tr>
    </w:tbl>
    <w:p>
      <w:pPr>
        <w:spacing w:after="80"/>
      </w:pPr>
    </w:p>
    <w:p>
      <w:pPr>
        <w:pStyle w:val="Heading1"/>
        <w:spacing w:before="360" w:after="160"/>
        <w:jc w:val="right"/>
        <w:keepNext/>
        <w:bidi w:val="1"/>
        <w:pBdr>
          <w:bottom w:val="single" w:sz="12" w:space="6" w:color="B8956B"/>
        </w:pBdr>
      </w:pPr>
      <w:r>
        <w:rPr>
          <w:rFonts w:ascii="Calibri" w:hAnsi="Calibri"/>
          <w:b/>
          <w:color w:val="0A192F"/>
          <w:sz w:val="44"/>
          <w:rtl w:val="1"/>
        </w:rPr>
        <w:t>16. التكامل التقني</w:t>
      </w:r>
    </w:p>
    <w:p>
      <w:pPr>
        <w:spacing w:after="160" w:line="276" w:lineRule="auto"/>
        <w:jc w:val="right"/>
        <w:bidi w:val="1"/>
      </w:pPr>
      <w:r>
        <w:rPr>
          <w:rFonts w:ascii="Calibri" w:hAnsi="Calibri"/>
          <w:color w:val="1A202C"/>
          <w:sz w:val="22"/>
          <w:rtl w:val="1"/>
        </w:rPr>
        <w:t>يتوسط المنصة علاقة الهيئة بأطراف السوق الثلاثة: شركات الاتصالات والجهات المرسلة والمنتفعون، وتشمل واجهات التكامل: API لشركات الاتصالات، وAPI للجهات المرسلة، وبوابة الجهات، وبوابة المنتفع، ونظام الهوية الرقمية، ونظام الشكاوى، وأنظمة البيانات والتحليلات، مع إمكانية التكامل مستقبلاً مع منصات الهيئة ذات الصلة.</w:t>
      </w:r>
    </w:p>
    <w:tbl>
      <w:tblPr>
        <w:tblW w:type="auto" w:w="0"/>
        <w:tblLook w:firstColumn="1" w:firstRow="1" w:lastColumn="0" w:lastRow="0" w:noHBand="0" w:noVBand="1" w:val="04A0"/>
      </w:tblPr>
      <w:tblGrid>
        <w:gridCol w:w="8640"/>
      </w:tblGrid>
      <w:tr>
        <w:tc>
          <w:tcPr>
            <w:tcW w:type="dxa" w:w="8640"/>
            <w:shd w:val="clear" w:color="auto" w:fill="ECFDF5"/>
            <w:tcBorders>
              <w:top w:val="single" w:sz="4" w:space="0" w:color="ECFDF5"/>
              <w:left w:val="single" w:sz="24" w:space="0" w:color="059669"/>
              <w:bottom w:val="single" w:sz="4" w:space="0" w:color="ECFDF5"/>
              <w:right w:val="single" w:sz="4" w:space="0" w:color="ECFDF5"/>
            </w:tcBorders>
          </w:tcPr>
          <w:p>
            <w:pPr>
              <w:spacing w:before="120" w:after="120"/>
              <w:jc w:val="right"/>
              <w:bidi w:val="1"/>
            </w:pPr>
            <w:r>
              <w:rPr>
                <w:rFonts w:ascii="Calibri" w:hAnsi="Calibri"/>
                <w:b/>
                <w:color w:val="059669"/>
                <w:sz w:val="18"/>
              </w:rPr>
              <w:t xml:space="preserve">TIP  </w:t>
            </w:r>
            <w:r>
              <w:rPr>
                <w:rFonts w:ascii="Calibri" w:hAnsi="Calibri"/>
                <w:color w:val="1A202C"/>
                <w:sz w:val="20"/>
                <w:rtl w:val="1"/>
              </w:rPr>
              <w:t>هيئة تنظيم الاتصالات ← المنصة الوطنية لمكافحة الرسائل الاقتحامية ← (شركات الاتصالات | الجهات المرسلة | المنتفعون)</w:t>
            </w:r>
          </w:p>
        </w:tc>
      </w:tr>
    </w:tbl>
    <w:p>
      <w:pPr>
        <w:spacing w:after="80"/>
      </w:pPr>
    </w:p>
    <w:p>
      <w:pPr>
        <w:pStyle w:val="Heading1"/>
        <w:spacing w:before="360" w:after="160"/>
        <w:jc w:val="right"/>
        <w:keepNext/>
        <w:bidi w:val="1"/>
        <w:pBdr>
          <w:bottom w:val="single" w:sz="12" w:space="6" w:color="B8956B"/>
        </w:pBdr>
      </w:pPr>
      <w:r>
        <w:rPr>
          <w:rFonts w:ascii="Calibri" w:hAnsi="Calibri"/>
          <w:b/>
          <w:color w:val="0A192F"/>
          <w:sz w:val="44"/>
          <w:rtl w:val="1"/>
        </w:rPr>
        <w:t>17. نطاق المشروع خلال ثلاثة أشهر</w:t>
      </w:r>
    </w:p>
    <w:p>
      <w:pPr>
        <w:spacing w:after="160" w:line="276" w:lineRule="auto"/>
        <w:jc w:val="right"/>
        <w:bidi w:val="1"/>
      </w:pPr>
      <w:r>
        <w:rPr>
          <w:rFonts w:ascii="Calibri" w:hAnsi="Calibri"/>
          <w:color w:val="1A202C"/>
          <w:sz w:val="22"/>
          <w:rtl w:val="1"/>
        </w:rPr>
        <w:t>لضمان إنجاز المشروع خلال ثلاثة أشهر، يقسم إلى ثلاث مراحل شهرية، بمخرجات واضحة لكل مرحلة:</w:t>
      </w:r>
    </w:p>
    <w:p>
      <w:pPr>
        <w:pStyle w:val="Heading2"/>
        <w:spacing w:before="240" w:after="80"/>
        <w:jc w:val="right"/>
        <w:bidi w:val="1"/>
        <w:pBdr>
          <w:bottom w:val="single" w:sz="6" w:space="3" w:color="1B3A5F"/>
        </w:pBdr>
      </w:pPr>
      <w:r>
        <w:rPr>
          <w:rFonts w:ascii="Calibri" w:hAnsi="Calibri"/>
          <w:b/>
          <w:color w:val="1B3A5F"/>
          <w:sz w:val="30"/>
          <w:rtl w:val="1"/>
        </w:rPr>
        <w:t>المرحلة الأولى – التحليل والتصميم (4 أسابيع)</w:t>
      </w:r>
    </w:p>
    <w:p>
      <w:pPr>
        <w:spacing w:after="160" w:line="276" w:lineRule="auto"/>
        <w:jc w:val="right"/>
        <w:bidi w:val="1"/>
      </w:pPr>
      <w:r>
        <w:rPr>
          <w:rFonts w:ascii="Calibri" w:hAnsi="Calibri"/>
          <w:color w:val="1A202C"/>
          <w:sz w:val="22"/>
          <w:rtl w:val="1"/>
        </w:rPr>
        <w:t>تحليل المتطلبات واللوائح والضوابط ذات العلاقة، وتحديد أصحاب المصلحة، وتصميم الإجراءات التشغيلية وقاعدة البيانات وتجربة المستخدم والواجهات الأولية، وتحديد واجهات API والتكاملات، وإعداد وثيقة المتطلبات الفنية.</w:t>
      </w:r>
    </w:p>
    <w:tbl>
      <w:tblPr>
        <w:tblW w:type="auto" w:w="0"/>
        <w:tblLook w:firstColumn="1" w:firstRow="1" w:lastColumn="0" w:lastRow="0" w:noHBand="0" w:noVBand="1" w:val="04A0"/>
      </w:tblPr>
      <w:tblGrid>
        <w:gridCol w:w="8640"/>
      </w:tblGrid>
      <w:tr>
        <w:tc>
          <w:tcPr>
            <w:tcW w:type="dxa" w:w="8640"/>
            <w:shd w:val="clear" w:color="auto" w:fill="F7F5F0"/>
            <w:tcBorders>
              <w:top w:val="single" w:sz="4" w:space="0" w:color="F7F5F0"/>
              <w:left w:val="single" w:sz="24" w:space="0" w:color="B8956B"/>
              <w:bottom w:val="single" w:sz="4" w:space="0" w:color="F7F5F0"/>
              <w:right w:val="single" w:sz="4" w:space="0" w:color="F7F5F0"/>
            </w:tcBorders>
          </w:tcPr>
          <w:p>
            <w:pPr>
              <w:spacing w:before="120" w:after="120"/>
              <w:jc w:val="right"/>
              <w:bidi w:val="1"/>
            </w:pPr>
            <w:r>
              <w:rPr>
                <w:rFonts w:ascii="Calibri" w:hAnsi="Calibri"/>
                <w:b/>
                <w:color w:val="B8956B"/>
                <w:sz w:val="18"/>
              </w:rPr>
              <w:t xml:space="preserve">INFO  </w:t>
            </w:r>
            <w:r>
              <w:rPr>
                <w:rFonts w:ascii="Calibri" w:hAnsi="Calibri"/>
                <w:color w:val="1A202C"/>
                <w:sz w:val="20"/>
                <w:rtl w:val="1"/>
              </w:rPr>
              <w:t>المخرج: تصميم واعتماد النموذج التشغيلي والتقني.</w:t>
            </w:r>
          </w:p>
        </w:tc>
      </w:tr>
    </w:tbl>
    <w:p>
      <w:pPr>
        <w:spacing w:after="80"/>
      </w:pPr>
    </w:p>
    <w:p>
      <w:pPr>
        <w:pStyle w:val="Heading2"/>
        <w:spacing w:before="240" w:after="80"/>
        <w:jc w:val="right"/>
        <w:bidi w:val="1"/>
        <w:pBdr>
          <w:bottom w:val="single" w:sz="6" w:space="3" w:color="1B3A5F"/>
        </w:pBdr>
      </w:pPr>
      <w:r>
        <w:rPr>
          <w:rFonts w:ascii="Calibri" w:hAnsi="Calibri"/>
          <w:b/>
          <w:color w:val="1B3A5F"/>
          <w:sz w:val="30"/>
          <w:rtl w:val="1"/>
        </w:rPr>
        <w:t>المرحلة الثانية – التطوير والتكامل (4 أسابيع)</w:t>
      </w:r>
    </w:p>
    <w:p>
      <w:pPr>
        <w:spacing w:after="160" w:line="276" w:lineRule="auto"/>
        <w:jc w:val="right"/>
        <w:bidi w:val="1"/>
      </w:pPr>
      <w:r>
        <w:rPr>
          <w:rFonts w:ascii="Calibri" w:hAnsi="Calibri"/>
          <w:color w:val="1A202C"/>
          <w:sz w:val="22"/>
          <w:rtl w:val="1"/>
        </w:rPr>
        <w:t>تطوير بوابة المنتفع وبوابة الجهات، ونظام البلاغات، وسجل الموافقات، وسجل المرسلين، وقاعدة بيانات الرسائل، ومحرك المخاطر الأولي، ولوحة المؤشرات، ونظام الإشعارات، وواجهات API الأساسية.</w:t>
      </w:r>
    </w:p>
    <w:tbl>
      <w:tblPr>
        <w:tblW w:type="auto" w:w="0"/>
        <w:tblLook w:firstColumn="1" w:firstRow="1" w:lastColumn="0" w:lastRow="0" w:noHBand="0" w:noVBand="1" w:val="04A0"/>
      </w:tblPr>
      <w:tblGrid>
        <w:gridCol w:w="8640"/>
      </w:tblGrid>
      <w:tr>
        <w:tc>
          <w:tcPr>
            <w:tcW w:type="dxa" w:w="8640"/>
            <w:shd w:val="clear" w:color="auto" w:fill="F7F5F0"/>
            <w:tcBorders>
              <w:top w:val="single" w:sz="4" w:space="0" w:color="F7F5F0"/>
              <w:left w:val="single" w:sz="24" w:space="0" w:color="B8956B"/>
              <w:bottom w:val="single" w:sz="4" w:space="0" w:color="F7F5F0"/>
              <w:right w:val="single" w:sz="4" w:space="0" w:color="F7F5F0"/>
            </w:tcBorders>
          </w:tcPr>
          <w:p>
            <w:pPr>
              <w:spacing w:before="120" w:after="120"/>
              <w:jc w:val="right"/>
              <w:bidi w:val="1"/>
            </w:pPr>
            <w:r>
              <w:rPr>
                <w:rFonts w:ascii="Calibri" w:hAnsi="Calibri"/>
                <w:b/>
                <w:color w:val="B8956B"/>
                <w:sz w:val="18"/>
              </w:rPr>
              <w:t xml:space="preserve">INFO  </w:t>
            </w:r>
            <w:r>
              <w:rPr>
                <w:rFonts w:ascii="Calibri" w:hAnsi="Calibri"/>
                <w:color w:val="1A202C"/>
                <w:sz w:val="20"/>
                <w:rtl w:val="1"/>
              </w:rPr>
              <w:t>المخرج: نسخة تشغيلية متكاملة MVP.</w:t>
            </w:r>
          </w:p>
        </w:tc>
      </w:tr>
    </w:tbl>
    <w:p>
      <w:pPr>
        <w:spacing w:after="80"/>
      </w:pPr>
    </w:p>
    <w:p>
      <w:pPr>
        <w:pStyle w:val="Heading2"/>
        <w:spacing w:before="240" w:after="80"/>
        <w:jc w:val="right"/>
        <w:bidi w:val="1"/>
        <w:pBdr>
          <w:bottom w:val="single" w:sz="6" w:space="3" w:color="1B3A5F"/>
        </w:pBdr>
      </w:pPr>
      <w:r>
        <w:rPr>
          <w:rFonts w:ascii="Calibri" w:hAnsi="Calibri"/>
          <w:b/>
          <w:color w:val="1B3A5F"/>
          <w:sz w:val="30"/>
          <w:rtl w:val="1"/>
        </w:rPr>
        <w:t>المرحلة الثالثة – الاختبار والإطلاق (4 أسابيع)</w:t>
      </w:r>
    </w:p>
    <w:p>
      <w:pPr>
        <w:spacing w:after="160" w:line="276" w:lineRule="auto"/>
        <w:jc w:val="right"/>
        <w:bidi w:val="1"/>
      </w:pPr>
      <w:r>
        <w:rPr>
          <w:rFonts w:ascii="Calibri" w:hAnsi="Calibri"/>
          <w:color w:val="1A202C"/>
          <w:sz w:val="22"/>
          <w:rtl w:val="1"/>
        </w:rPr>
        <w:t>الاختبارات الوظيفية وتكامل وأمن المعلومات والأداء وتجربة المستخدم، ومعالجة الملاحظات، وتدريب المستخدمين، وإعداد الأدلة، وتجهيز بيئة الإنتاج، ثم الإطلاق التجريبي والرسمي.</w:t>
      </w:r>
    </w:p>
    <w:tbl>
      <w:tblPr>
        <w:tblW w:type="auto" w:w="0"/>
        <w:tblLook w:firstColumn="1" w:firstRow="1" w:lastColumn="0" w:lastRow="0" w:noHBand="0" w:noVBand="1" w:val="04A0"/>
      </w:tblPr>
      <w:tblGrid>
        <w:gridCol w:w="8640"/>
      </w:tblGrid>
      <w:tr>
        <w:tc>
          <w:tcPr>
            <w:tcW w:type="dxa" w:w="8640"/>
            <w:shd w:val="clear" w:color="auto" w:fill="F7F5F0"/>
            <w:tcBorders>
              <w:top w:val="single" w:sz="4" w:space="0" w:color="F7F5F0"/>
              <w:left w:val="single" w:sz="24" w:space="0" w:color="B8956B"/>
              <w:bottom w:val="single" w:sz="4" w:space="0" w:color="F7F5F0"/>
              <w:right w:val="single" w:sz="4" w:space="0" w:color="F7F5F0"/>
            </w:tcBorders>
          </w:tcPr>
          <w:p>
            <w:pPr>
              <w:spacing w:before="120" w:after="120"/>
              <w:jc w:val="right"/>
              <w:bidi w:val="1"/>
            </w:pPr>
            <w:r>
              <w:rPr>
                <w:rFonts w:ascii="Calibri" w:hAnsi="Calibri"/>
                <w:b/>
                <w:color w:val="B8956B"/>
                <w:sz w:val="18"/>
              </w:rPr>
              <w:t xml:space="preserve">INFO  </w:t>
            </w:r>
            <w:r>
              <w:rPr>
                <w:rFonts w:ascii="Calibri" w:hAnsi="Calibri"/>
                <w:color w:val="1A202C"/>
                <w:sz w:val="20"/>
                <w:rtl w:val="1"/>
              </w:rPr>
              <w:t>المخرج: منصة جاهزة للتشغيل.</w:t>
            </w:r>
          </w:p>
        </w:tc>
      </w:tr>
    </w:tbl>
    <w:p>
      <w:pPr>
        <w:spacing w:after="80"/>
      </w:pPr>
    </w:p>
    <w:p>
      <w:r>
        <w:br w:type="page"/>
      </w:r>
    </w:p>
    <w:p>
      <w:pPr>
        <w:pStyle w:val="Heading1"/>
        <w:spacing w:before="360" w:after="160"/>
        <w:jc w:val="right"/>
        <w:keepNext/>
        <w:bidi w:val="1"/>
        <w:pBdr>
          <w:bottom w:val="single" w:sz="12" w:space="6" w:color="B8956B"/>
        </w:pBdr>
      </w:pPr>
      <w:r>
        <w:rPr>
          <w:rFonts w:ascii="Calibri" w:hAnsi="Calibri"/>
          <w:b/>
          <w:color w:val="0A192F"/>
          <w:sz w:val="44"/>
          <w:rtl w:val="1"/>
        </w:rPr>
        <w:t>18. الميزانية المقترحة</w:t>
      </w:r>
    </w:p>
    <w:tbl>
      <w:tblPr>
        <w:tblW w:type="auto" w:w="0"/>
        <w:tblLook w:firstColumn="1" w:firstRow="1" w:lastColumn="0" w:lastRow="0" w:noHBand="0" w:noVBand="1" w:val="04A0"/>
      </w:tblPr>
      <w:tblGrid>
        <w:gridCol w:w="8640"/>
      </w:tblGrid>
      <w:tr>
        <w:tc>
          <w:tcPr>
            <w:tcW w:type="dxa" w:w="8640"/>
            <w:shd w:val="clear" w:color="auto" w:fill="FFFBEB"/>
            <w:tcBorders>
              <w:top w:val="single" w:sz="4" w:space="0" w:color="FFFBEB"/>
              <w:left w:val="single" w:sz="24" w:space="0" w:color="D97706"/>
              <w:bottom w:val="single" w:sz="4" w:space="0" w:color="FFFBEB"/>
              <w:right w:val="single" w:sz="4" w:space="0" w:color="FFFBEB"/>
            </w:tcBorders>
          </w:tcPr>
          <w:p>
            <w:pPr>
              <w:spacing w:before="120" w:after="120"/>
              <w:jc w:val="right"/>
              <w:bidi w:val="1"/>
            </w:pPr>
            <w:r>
              <w:rPr>
                <w:rFonts w:ascii="Calibri" w:hAnsi="Calibri"/>
                <w:b/>
                <w:color w:val="D97706"/>
                <w:sz w:val="18"/>
              </w:rPr>
              <w:t xml:space="preserve">WARNING  </w:t>
            </w:r>
            <w:r>
              <w:rPr>
                <w:rFonts w:ascii="Calibri" w:hAnsi="Calibri"/>
                <w:color w:val="1A202C"/>
                <w:sz w:val="20"/>
                <w:rtl w:val="1"/>
              </w:rPr>
              <w:t>إجمالي الميزانية المقترحة: 78,000 ريال عماني — وهي أقل من الحد الأقصى المحدد (80,000 ريال عماني)</w:t>
            </w:r>
          </w:p>
        </w:tc>
      </w:tr>
    </w:tbl>
    <w:p>
      <w:pPr>
        <w:spacing w:after="80"/>
      </w:pPr>
    </w:p>
    <w:tbl>
      <w:tblPr>
        <w:tblStyle w:val="TableGrid"/>
        <w:tblW w:type="auto" w:w="0"/>
        <w:tblLayout w:type="autofit"/>
        <w:tblLook w:firstColumn="1" w:firstRow="1" w:lastColumn="0" w:lastRow="0" w:noHBand="0" w:noVBand="1" w:val="04A0"/>
      </w:tblPr>
      <w:tblGrid>
        <w:gridCol w:w="4320"/>
        <w:gridCol w:w="4320"/>
      </w:tblGrid>
      <w:tr>
        <w:tc>
          <w:tcPr>
            <w:tcW w:type="dxa" w:w="432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البند</w:t>
            </w:r>
          </w:p>
        </w:tc>
        <w:tc>
          <w:tcPr>
            <w:tcW w:type="dxa" w:w="432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التكلفة</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1. التحليل ودراسة المتطلبات</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6,000 ر.ع</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2. التصميم UX/UI</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6,000 ر.ع</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3. البنية التقنية وقاعدة البيانات</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8,000 ر.ع</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4. بوابة المنتفع ونظام البلاغات</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10,000 ر.ع</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5. بوابة الجهات وسجل المرسلين</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8,000 ر.ع</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6. سجل الموافقات وقائمة عدم الاتصال</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9,000 ر.ع</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7. محرك المخاطر والتصنيف</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8,000 ر.ع</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8. لوحة المؤشرات والتقارير</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7,000 ر.ع</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9. التكامل وواجهات API</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6,000 ر.ع</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10. الاختبارات والأمن السيبراني</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4,000 ر.ع</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11. التدريب والتوثيق والإطلاق</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3,000 ر.ع</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12. إدارة المشروع وضمان الجودة</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3,000 ر.ع</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الإجمالي</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78,000 ر.ع</w:t>
            </w:r>
          </w:p>
        </w:tc>
      </w:tr>
    </w:tbl>
    <w:p>
      <w:pPr>
        <w:spacing w:after="120"/>
      </w:pPr>
    </w:p>
    <w:p>
      <w:pPr>
        <w:pStyle w:val="Heading3"/>
        <w:spacing w:before="160" w:after="60"/>
        <w:jc w:val="right"/>
        <w:bidi w:val="1"/>
      </w:pPr>
      <w:r>
        <w:rPr>
          <w:rFonts w:ascii="Calibri" w:hAnsi="Calibri"/>
          <w:b/>
          <w:color w:val="2C5282"/>
          <w:sz w:val="24"/>
          <w:rtl w:val="1"/>
        </w:rPr>
        <w:t>توزيع الميزانية حسب الأشهر</w:t>
      </w:r>
    </w:p>
    <w:tbl>
      <w:tblPr>
        <w:tblStyle w:val="TableGrid"/>
        <w:tblW w:type="auto" w:w="0"/>
        <w:tblLayout w:type="autofit"/>
        <w:tblLook w:firstColumn="1" w:firstRow="1" w:lastColumn="0" w:lastRow="0" w:noHBand="0" w:noVBand="1" w:val="04A0"/>
      </w:tblPr>
      <w:tblGrid>
        <w:gridCol w:w="2880"/>
        <w:gridCol w:w="2880"/>
        <w:gridCol w:w="2880"/>
      </w:tblGrid>
      <w:tr>
        <w:tc>
          <w:tcPr>
            <w:tcW w:type="dxa" w:w="288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الشهر</w:t>
            </w:r>
          </w:p>
        </w:tc>
        <w:tc>
          <w:tcPr>
            <w:tcW w:type="dxa" w:w="288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نطاق الأعمال</w:t>
            </w:r>
          </w:p>
        </w:tc>
        <w:tc>
          <w:tcPr>
            <w:tcW w:type="dxa" w:w="288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التكلفة</w:t>
            </w:r>
          </w:p>
        </w:tc>
      </w:tr>
      <w:tr>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الشهر الأول</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التحليل + التصميم + البنية التقنية</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20,000 ر.ع</w:t>
            </w:r>
          </w:p>
        </w:tc>
      </w:tr>
      <w:tr>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الشهر الثاني</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التطوير + قواعد البيانات + الأنظمة</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35,000 ر.ع</w:t>
            </w:r>
          </w:p>
        </w:tc>
      </w:tr>
      <w:tr>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الشهر الثالث</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التكامل + الاختبارات + التدريب + الإطلاق</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23,000 ر.ع</w:t>
            </w:r>
          </w:p>
        </w:tc>
      </w:tr>
      <w:tr>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الإجمالي</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3 أشهر</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78,000 ر.ع</w:t>
            </w:r>
          </w:p>
        </w:tc>
      </w:tr>
    </w:tbl>
    <w:p>
      <w:pPr>
        <w:spacing w:after="120"/>
      </w:pPr>
    </w:p>
    <w:p>
      <w:pPr>
        <w:pStyle w:val="Heading1"/>
        <w:spacing w:before="360" w:after="160"/>
        <w:jc w:val="right"/>
        <w:keepNext/>
        <w:bidi w:val="1"/>
        <w:pBdr>
          <w:bottom w:val="single" w:sz="12" w:space="6" w:color="B8956B"/>
        </w:pBdr>
      </w:pPr>
      <w:r>
        <w:rPr>
          <w:rFonts w:ascii="Calibri" w:hAnsi="Calibri"/>
          <w:b/>
          <w:color w:val="0A192F"/>
          <w:sz w:val="44"/>
          <w:rtl w:val="1"/>
        </w:rPr>
        <w:t>19. مخرجات المشروع</w:t>
      </w:r>
    </w:p>
    <w:p>
      <w:pPr>
        <w:spacing w:after="160" w:line="276" w:lineRule="auto"/>
        <w:jc w:val="right"/>
        <w:bidi w:val="1"/>
      </w:pPr>
      <w:r>
        <w:rPr>
          <w:rFonts w:ascii="Calibri" w:hAnsi="Calibri"/>
          <w:color w:val="1A202C"/>
          <w:sz w:val="22"/>
          <w:rtl w:val="1"/>
        </w:rPr>
        <w:t>بنهاية الأشهر الثلاثة يتم تسليم حزمة متكاملة من المخرجات:</w:t>
      </w:r>
    </w:p>
    <w:p>
      <w:pPr>
        <w:spacing w:after="60"/>
        <w:ind w:right="504"/>
        <w:jc w:val="right"/>
        <w:bidi w:val="1"/>
      </w:pPr>
      <w:r>
        <w:rPr>
          <w:rFonts w:ascii="Calibri" w:hAnsi="Calibri"/>
          <w:color w:val="1A202C"/>
          <w:sz w:val="22"/>
          <w:rtl w:val="1"/>
        </w:rPr>
        <w:t>منصة ويب متكاملة وبوابة للمنتفعين وبوابة للجهات المرسلة.</w:t>
      </w:r>
      <w:r>
        <w:rPr>
          <w:rFonts w:ascii="Calibri" w:hAnsi="Calibri"/>
          <w:color w:val="B8956B"/>
          <w:sz w:val="22"/>
        </w:rPr>
        <w:t xml:space="preserve">  •</w:t>
      </w:r>
    </w:p>
    <w:p>
      <w:pPr>
        <w:spacing w:after="60"/>
        <w:ind w:right="504"/>
        <w:jc w:val="right"/>
        <w:bidi w:val="1"/>
      </w:pPr>
      <w:r>
        <w:rPr>
          <w:rFonts w:ascii="Calibri" w:hAnsi="Calibri"/>
          <w:color w:val="1A202C"/>
          <w:sz w:val="22"/>
          <w:rtl w:val="1"/>
        </w:rPr>
        <w:t>نظام إدارة البلاغات وسجل الموافقات وقائمة عدم الاتصال.</w:t>
      </w:r>
      <w:r>
        <w:rPr>
          <w:rFonts w:ascii="Calibri" w:hAnsi="Calibri"/>
          <w:color w:val="B8956B"/>
          <w:sz w:val="22"/>
        </w:rPr>
        <w:t xml:space="preserve">  •</w:t>
      </w:r>
    </w:p>
    <w:p>
      <w:pPr>
        <w:spacing w:after="60"/>
        <w:ind w:right="504"/>
        <w:jc w:val="right"/>
        <w:bidi w:val="1"/>
      </w:pPr>
      <w:r>
        <w:rPr>
          <w:rFonts w:ascii="Calibri" w:hAnsi="Calibri"/>
          <w:color w:val="1A202C"/>
          <w:sz w:val="22"/>
          <w:rtl w:val="1"/>
        </w:rPr>
        <w:t>سجل مصادر الرسائل وقاعدة بيانات الرسائل.</w:t>
      </w:r>
      <w:r>
        <w:rPr>
          <w:rFonts w:ascii="Calibri" w:hAnsi="Calibri"/>
          <w:color w:val="B8956B"/>
          <w:sz w:val="22"/>
        </w:rPr>
        <w:t xml:space="preserve">  •</w:t>
      </w:r>
    </w:p>
    <w:p>
      <w:pPr>
        <w:spacing w:after="60"/>
        <w:ind w:right="504"/>
        <w:jc w:val="right"/>
        <w:bidi w:val="1"/>
      </w:pPr>
      <w:r>
        <w:rPr>
          <w:rFonts w:ascii="Calibri" w:hAnsi="Calibri"/>
          <w:color w:val="1A202C"/>
          <w:sz w:val="22"/>
          <w:rtl w:val="1"/>
        </w:rPr>
        <w:t>محرك تقييم المخاطر وتصنيف المخالفات.</w:t>
      </w:r>
      <w:r>
        <w:rPr>
          <w:rFonts w:ascii="Calibri" w:hAnsi="Calibri"/>
          <w:color w:val="B8956B"/>
          <w:sz w:val="22"/>
        </w:rPr>
        <w:t xml:space="preserve">  •</w:t>
      </w:r>
    </w:p>
    <w:p>
      <w:pPr>
        <w:spacing w:after="60"/>
        <w:ind w:right="504"/>
        <w:jc w:val="right"/>
        <w:bidi w:val="1"/>
      </w:pPr>
      <w:r>
        <w:rPr>
          <w:rFonts w:ascii="Calibri" w:hAnsi="Calibri"/>
          <w:color w:val="1A202C"/>
          <w:sz w:val="22"/>
          <w:rtl w:val="1"/>
        </w:rPr>
        <w:t>لوحة مؤشرات للهيئة ونظام تقارير ونظام إشعارات.</w:t>
      </w:r>
      <w:r>
        <w:rPr>
          <w:rFonts w:ascii="Calibri" w:hAnsi="Calibri"/>
          <w:color w:val="B8956B"/>
          <w:sz w:val="22"/>
        </w:rPr>
        <w:t xml:space="preserve">  •</w:t>
      </w:r>
    </w:p>
    <w:p>
      <w:pPr>
        <w:spacing w:after="60"/>
        <w:ind w:right="504"/>
        <w:jc w:val="right"/>
        <w:bidi w:val="1"/>
      </w:pPr>
      <w:r>
        <w:rPr>
          <w:rFonts w:ascii="Calibri" w:hAnsi="Calibri"/>
          <w:color w:val="1A202C"/>
          <w:sz w:val="22"/>
          <w:rtl w:val="1"/>
        </w:rPr>
        <w:t>واجهات API للتكامل ونظام صلاحيات المستخدمين.</w:t>
      </w:r>
      <w:r>
        <w:rPr>
          <w:rFonts w:ascii="Calibri" w:hAnsi="Calibri"/>
          <w:color w:val="B8956B"/>
          <w:sz w:val="22"/>
        </w:rPr>
        <w:t xml:space="preserve">  •</w:t>
      </w:r>
    </w:p>
    <w:p>
      <w:pPr>
        <w:spacing w:after="60"/>
        <w:ind w:right="504"/>
        <w:jc w:val="right"/>
        <w:bidi w:val="1"/>
      </w:pPr>
      <w:r>
        <w:rPr>
          <w:rFonts w:ascii="Calibri" w:hAnsi="Calibri"/>
          <w:color w:val="1A202C"/>
          <w:sz w:val="22"/>
          <w:rtl w:val="1"/>
        </w:rPr>
        <w:t>سجل تدقيق (Audit Log) ووثائق النظام ودليل المستخدم.</w:t>
      </w:r>
      <w:r>
        <w:rPr>
          <w:rFonts w:ascii="Calibri" w:hAnsi="Calibri"/>
          <w:color w:val="B8956B"/>
          <w:sz w:val="22"/>
        </w:rPr>
        <w:t xml:space="preserve">  •</w:t>
      </w:r>
    </w:p>
    <w:p>
      <w:pPr>
        <w:spacing w:after="60"/>
        <w:ind w:right="504"/>
        <w:jc w:val="right"/>
        <w:bidi w:val="1"/>
      </w:pPr>
      <w:r>
        <w:rPr>
          <w:rFonts w:ascii="Calibri" w:hAnsi="Calibri"/>
          <w:color w:val="1A202C"/>
          <w:sz w:val="22"/>
          <w:rtl w:val="1"/>
        </w:rPr>
        <w:t>تدريب المستخدمين وإطلاق النسخة التشغيلية.</w:t>
      </w:r>
      <w:r>
        <w:rPr>
          <w:rFonts w:ascii="Calibri" w:hAnsi="Calibri"/>
          <w:color w:val="B8956B"/>
          <w:sz w:val="22"/>
        </w:rPr>
        <w:t xml:space="preserve">  •</w:t>
      </w:r>
    </w:p>
    <w:p>
      <w:r>
        <w:br w:type="page"/>
      </w:r>
    </w:p>
    <w:p>
      <w:pPr>
        <w:pStyle w:val="Heading1"/>
        <w:spacing w:before="360" w:after="160"/>
        <w:jc w:val="right"/>
        <w:keepNext/>
        <w:bidi w:val="1"/>
        <w:pBdr>
          <w:bottom w:val="single" w:sz="12" w:space="6" w:color="B8956B"/>
        </w:pBdr>
      </w:pPr>
      <w:r>
        <w:rPr>
          <w:rFonts w:ascii="Calibri" w:hAnsi="Calibri"/>
          <w:b/>
          <w:color w:val="0A192F"/>
          <w:sz w:val="44"/>
          <w:rtl w:val="1"/>
        </w:rPr>
        <w:t>20. ما لا يشمله السعر</w:t>
      </w:r>
    </w:p>
    <w:p>
      <w:pPr>
        <w:spacing w:after="160" w:line="276" w:lineRule="auto"/>
        <w:jc w:val="right"/>
        <w:bidi w:val="1"/>
      </w:pPr>
      <w:r>
        <w:rPr>
          <w:rFonts w:ascii="Calibri" w:hAnsi="Calibri"/>
          <w:color w:val="1A202C"/>
          <w:sz w:val="22"/>
          <w:rtl w:val="1"/>
        </w:rPr>
        <w:t>لضبط المشروع عند 78,000 ريال عماني، يُحدَّد صراحةً أن السعر لا يشمل – ما لم يُتفق عليه لاحقاً:</w:t>
      </w:r>
    </w:p>
    <w:p>
      <w:pPr>
        <w:spacing w:after="60"/>
        <w:ind w:right="504"/>
        <w:jc w:val="right"/>
        <w:bidi w:val="1"/>
      </w:pPr>
      <w:r>
        <w:rPr>
          <w:rFonts w:ascii="Calibri" w:hAnsi="Calibri"/>
          <w:color w:val="1A202C"/>
          <w:sz w:val="22"/>
          <w:rtl w:val="1"/>
        </w:rPr>
        <w:t>شراء أجهزة وبنية تحتية خاصة.</w:t>
      </w:r>
      <w:r>
        <w:rPr>
          <w:rFonts w:ascii="Calibri" w:hAnsi="Calibri"/>
          <w:color w:val="B8956B"/>
          <w:sz w:val="22"/>
        </w:rPr>
        <w:t xml:space="preserve">  •</w:t>
      </w:r>
    </w:p>
    <w:p>
      <w:pPr>
        <w:spacing w:after="60"/>
        <w:ind w:right="504"/>
        <w:jc w:val="right"/>
        <w:bidi w:val="1"/>
      </w:pPr>
      <w:r>
        <w:rPr>
          <w:rFonts w:ascii="Calibri" w:hAnsi="Calibri"/>
          <w:color w:val="1A202C"/>
          <w:sz w:val="22"/>
          <w:rtl w:val="1"/>
        </w:rPr>
        <w:t>رسوم خدمات الرسائل SMS من شركات الاتصالات.</w:t>
      </w:r>
      <w:r>
        <w:rPr>
          <w:rFonts w:ascii="Calibri" w:hAnsi="Calibri"/>
          <w:color w:val="B8956B"/>
          <w:sz w:val="22"/>
        </w:rPr>
        <w:t xml:space="preserve">  •</w:t>
      </w:r>
    </w:p>
    <w:p>
      <w:pPr>
        <w:spacing w:after="60"/>
        <w:ind w:right="504"/>
        <w:jc w:val="right"/>
        <w:bidi w:val="1"/>
      </w:pPr>
      <w:r>
        <w:rPr>
          <w:rFonts w:ascii="Calibri" w:hAnsi="Calibri"/>
          <w:color w:val="1A202C"/>
          <w:sz w:val="22"/>
          <w:rtl w:val="1"/>
        </w:rPr>
        <w:t>تراخيص برمجيات خارجية مدفوعة.</w:t>
      </w:r>
      <w:r>
        <w:rPr>
          <w:rFonts w:ascii="Calibri" w:hAnsi="Calibri"/>
          <w:color w:val="B8956B"/>
          <w:sz w:val="22"/>
        </w:rPr>
        <w:t xml:space="preserve">  •</w:t>
      </w:r>
    </w:p>
    <w:p>
      <w:pPr>
        <w:spacing w:after="60"/>
        <w:ind w:right="504"/>
        <w:jc w:val="right"/>
        <w:bidi w:val="1"/>
      </w:pPr>
      <w:r>
        <w:rPr>
          <w:rFonts w:ascii="Calibri" w:hAnsi="Calibri"/>
          <w:color w:val="1A202C"/>
          <w:sz w:val="22"/>
          <w:rtl w:val="1"/>
        </w:rPr>
        <w:t>تطوير تطبيقات جوال Native مستقلة لنظامي iOS وAndroid.</w:t>
      </w:r>
      <w:r>
        <w:rPr>
          <w:rFonts w:ascii="Calibri" w:hAnsi="Calibri"/>
          <w:color w:val="B8956B"/>
          <w:sz w:val="22"/>
        </w:rPr>
        <w:t xml:space="preserve">  •</w:t>
      </w:r>
    </w:p>
    <w:p>
      <w:pPr>
        <w:spacing w:after="60"/>
        <w:ind w:right="504"/>
        <w:jc w:val="right"/>
        <w:bidi w:val="1"/>
      </w:pPr>
      <w:r>
        <w:rPr>
          <w:rFonts w:ascii="Calibri" w:hAnsi="Calibri"/>
          <w:color w:val="1A202C"/>
          <w:sz w:val="22"/>
          <w:rtl w:val="1"/>
        </w:rPr>
        <w:t>تطوير نموذج ذكاء اصطناعي متقدم من الصفر.</w:t>
      </w:r>
      <w:r>
        <w:rPr>
          <w:rFonts w:ascii="Calibri" w:hAnsi="Calibri"/>
          <w:color w:val="B8956B"/>
          <w:sz w:val="22"/>
        </w:rPr>
        <w:t xml:space="preserve">  •</w:t>
      </w:r>
    </w:p>
    <w:p>
      <w:pPr>
        <w:spacing w:after="60"/>
        <w:ind w:right="504"/>
        <w:jc w:val="right"/>
        <w:bidi w:val="1"/>
      </w:pPr>
      <w:r>
        <w:rPr>
          <w:rFonts w:ascii="Calibri" w:hAnsi="Calibri"/>
          <w:color w:val="1A202C"/>
          <w:sz w:val="22"/>
          <w:rtl w:val="1"/>
        </w:rPr>
        <w:t>تكاملات غير متاحة عبر API.</w:t>
      </w:r>
      <w:r>
        <w:rPr>
          <w:rFonts w:ascii="Calibri" w:hAnsi="Calibri"/>
          <w:color w:val="B8956B"/>
          <w:sz w:val="22"/>
        </w:rPr>
        <w:t xml:space="preserve">  •</w:t>
      </w:r>
    </w:p>
    <w:p>
      <w:pPr>
        <w:spacing w:after="60"/>
        <w:ind w:right="504"/>
        <w:jc w:val="right"/>
        <w:bidi w:val="1"/>
      </w:pPr>
      <w:r>
        <w:rPr>
          <w:rFonts w:ascii="Calibri" w:hAnsi="Calibri"/>
          <w:color w:val="1A202C"/>
          <w:sz w:val="22"/>
          <w:rtl w:val="1"/>
        </w:rPr>
        <w:t>مركز بيانات جديد.</w:t>
      </w:r>
      <w:r>
        <w:rPr>
          <w:rFonts w:ascii="Calibri" w:hAnsi="Calibri"/>
          <w:color w:val="B8956B"/>
          <w:sz w:val="22"/>
        </w:rPr>
        <w:t xml:space="preserve">  •</w:t>
      </w:r>
    </w:p>
    <w:p>
      <w:pPr>
        <w:spacing w:after="60"/>
        <w:ind w:right="504"/>
        <w:jc w:val="right"/>
        <w:bidi w:val="1"/>
      </w:pPr>
      <w:r>
        <w:rPr>
          <w:rFonts w:ascii="Calibri" w:hAnsi="Calibri"/>
          <w:color w:val="1A202C"/>
          <w:sz w:val="22"/>
          <w:rtl w:val="1"/>
        </w:rPr>
        <w:t>التشغيل والدعم السنوي بعد فترة الضمان.</w:t>
      </w:r>
      <w:r>
        <w:rPr>
          <w:rFonts w:ascii="Calibri" w:hAnsi="Calibri"/>
          <w:color w:val="B8956B"/>
          <w:sz w:val="22"/>
        </w:rPr>
        <w:t xml:space="preserve">  •</w:t>
      </w:r>
    </w:p>
    <w:p>
      <w:pPr>
        <w:spacing w:after="160" w:line="276" w:lineRule="auto"/>
        <w:jc w:val="right"/>
        <w:bidi w:val="1"/>
      </w:pPr>
      <w:r>
        <w:rPr>
          <w:rFonts w:ascii="Calibri" w:hAnsi="Calibri"/>
          <w:color w:val="1A202C"/>
          <w:sz w:val="22"/>
          <w:rtl w:val="1"/>
        </w:rPr>
        <w:t>أما النسخة الأولى من المنصة فتتضمن الوظائف الأساسية التي تجعلها قابلة للتشغيل والاختبار خلال ثلاثة أشهر.</w:t>
      </w:r>
    </w:p>
    <w:p>
      <w:pPr>
        <w:pStyle w:val="Heading1"/>
        <w:spacing w:before="360" w:after="160"/>
        <w:jc w:val="right"/>
        <w:keepNext/>
        <w:bidi w:val="1"/>
        <w:pBdr>
          <w:bottom w:val="single" w:sz="12" w:space="6" w:color="B8956B"/>
        </w:pBdr>
      </w:pPr>
      <w:r>
        <w:rPr>
          <w:rFonts w:ascii="Calibri" w:hAnsi="Calibri"/>
          <w:b/>
          <w:color w:val="0A192F"/>
          <w:sz w:val="44"/>
          <w:rtl w:val="1"/>
        </w:rPr>
        <w:t>21. مؤشرات نجاح المشروع</w:t>
      </w:r>
    </w:p>
    <w:p>
      <w:pPr>
        <w:spacing w:after="160" w:line="276" w:lineRule="auto"/>
        <w:jc w:val="right"/>
        <w:bidi w:val="1"/>
      </w:pPr>
      <w:r>
        <w:rPr>
          <w:rFonts w:ascii="Calibri" w:hAnsi="Calibri"/>
          <w:color w:val="1A202C"/>
          <w:sz w:val="22"/>
          <w:rtl w:val="1"/>
        </w:rPr>
        <w:t>يُقترح ربط نجاح المشروع بمؤشرات قابلة للقياس، وهذه مستهدفات مشروع مقترحة وليست التزامات تنظيمية نافذة:</w:t>
      </w:r>
    </w:p>
    <w:tbl>
      <w:tblPr>
        <w:tblStyle w:val="TableGrid"/>
        <w:tblW w:type="auto" w:w="0"/>
        <w:tblLayout w:type="autofit"/>
        <w:tblLook w:firstColumn="1" w:firstRow="1" w:lastColumn="0" w:lastRow="0" w:noHBand="0" w:noVBand="1" w:val="04A0"/>
      </w:tblPr>
      <w:tblGrid>
        <w:gridCol w:w="4320"/>
        <w:gridCol w:w="4320"/>
      </w:tblGrid>
      <w:tr>
        <w:tc>
          <w:tcPr>
            <w:tcW w:type="dxa" w:w="432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المؤشر</w:t>
            </w:r>
          </w:p>
        </w:tc>
        <w:tc>
          <w:tcPr>
            <w:tcW w:type="dxa" w:w="432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المستهدف</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تسجيل الجهات المرسلة</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100% من الجهات المستهدفة</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تسجيل الحملات</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100% من الحملات المشمولة</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تسجيل طلبات الإلغاء</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pPr>
            <w:r/>
            <w:r>
              <w:rPr>
                <w:rFonts w:ascii="Calibri" w:hAnsi="Calibri"/>
                <w:color w:val="1A202C"/>
                <w:sz w:val="20"/>
              </w:rPr>
              <w:t>100%</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توثيق الموافقات</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100% للحملات المشمولة</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اكتشاف الرسائل المتكررة</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آلي</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تصنيف المصادر</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آلي</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إنشاء سجل للمخالفة</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آلي</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لوحة المؤشرات</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متاحة لحظياً</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تتبع البلاغ</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pPr>
            <w:r/>
            <w:r>
              <w:rPr>
                <w:rFonts w:ascii="Calibri" w:hAnsi="Calibri"/>
                <w:color w:val="1A202C"/>
                <w:sz w:val="20"/>
              </w:rPr>
              <w:t>100%</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سجل التدقيق</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100% من العمليات الحساسة</w:t>
            </w:r>
          </w:p>
        </w:tc>
      </w:tr>
    </w:tbl>
    <w:p>
      <w:pPr>
        <w:spacing w:after="120"/>
      </w:pPr>
    </w:p>
    <w:p>
      <w:pPr>
        <w:pStyle w:val="Heading1"/>
        <w:spacing w:before="360" w:after="160"/>
        <w:jc w:val="right"/>
        <w:keepNext/>
        <w:bidi w:val="1"/>
        <w:pBdr>
          <w:bottom w:val="single" w:sz="12" w:space="6" w:color="B8956B"/>
        </w:pBdr>
      </w:pPr>
      <w:r>
        <w:rPr>
          <w:rFonts w:ascii="Calibri" w:hAnsi="Calibri"/>
          <w:b/>
          <w:color w:val="0A192F"/>
          <w:sz w:val="44"/>
          <w:rtl w:val="1"/>
        </w:rPr>
        <w:t>22. القيمة التي تحصل عليها الهيئة</w:t>
      </w:r>
    </w:p>
    <w:p>
      <w:pPr>
        <w:spacing w:after="160" w:line="276" w:lineRule="auto"/>
        <w:jc w:val="right"/>
        <w:bidi w:val="1"/>
      </w:pPr>
      <w:r>
        <w:rPr>
          <w:rFonts w:ascii="Calibri" w:hAnsi="Calibri"/>
          <w:color w:val="1A202C"/>
          <w:sz w:val="22"/>
          <w:rtl w:val="1"/>
        </w:rPr>
        <w:t>المشروع لا يقدّم مجرد موقع إلكتروني؛ بل يقدّم أداة تنظيمية رقمية متكاملة تحقق قيمة لأطراف السوق الثلاثة:</w:t>
      </w:r>
    </w:p>
    <w:p>
      <w:pPr>
        <w:pStyle w:val="Heading3"/>
        <w:spacing w:before="160" w:after="60"/>
        <w:jc w:val="right"/>
        <w:bidi w:val="1"/>
      </w:pPr>
      <w:r>
        <w:rPr>
          <w:rFonts w:ascii="Calibri" w:hAnsi="Calibri"/>
          <w:b/>
          <w:color w:val="2C5282"/>
          <w:sz w:val="24"/>
          <w:rtl w:val="1"/>
        </w:rPr>
        <w:t>القيمة التنظيمية</w:t>
      </w:r>
    </w:p>
    <w:p>
      <w:pPr>
        <w:spacing w:after="60"/>
        <w:ind w:right="504"/>
        <w:jc w:val="right"/>
        <w:bidi w:val="1"/>
      </w:pPr>
      <w:r>
        <w:rPr>
          <w:rFonts w:ascii="Calibri" w:hAnsi="Calibri"/>
          <w:color w:val="1A202C"/>
          <w:sz w:val="22"/>
          <w:rtl w:val="1"/>
        </w:rPr>
        <w:t>رفع كفاءة الرقابة وتحسين جودة البيانات وتقليل المعالجة اليدوية.</w:t>
      </w:r>
      <w:r>
        <w:rPr>
          <w:rFonts w:ascii="Calibri" w:hAnsi="Calibri"/>
          <w:color w:val="B8956B"/>
          <w:sz w:val="22"/>
        </w:rPr>
        <w:t xml:space="preserve">  •</w:t>
      </w:r>
    </w:p>
    <w:p>
      <w:pPr>
        <w:spacing w:after="60"/>
        <w:ind w:right="504"/>
        <w:jc w:val="right"/>
        <w:bidi w:val="1"/>
      </w:pPr>
      <w:r>
        <w:rPr>
          <w:rFonts w:ascii="Calibri" w:hAnsi="Calibri"/>
          <w:color w:val="1A202C"/>
          <w:sz w:val="22"/>
          <w:rtl w:val="1"/>
        </w:rPr>
        <w:t>توحيد إجراءات الشكاوى وتسهيل التحقيق وبناء قاعدة أدلة.</w:t>
      </w:r>
      <w:r>
        <w:rPr>
          <w:rFonts w:ascii="Calibri" w:hAnsi="Calibri"/>
          <w:color w:val="B8956B"/>
          <w:sz w:val="22"/>
        </w:rPr>
        <w:t xml:space="preserve">  •</w:t>
      </w:r>
    </w:p>
    <w:p>
      <w:pPr>
        <w:spacing w:after="60"/>
        <w:ind w:right="504"/>
        <w:jc w:val="right"/>
        <w:bidi w:val="1"/>
      </w:pPr>
      <w:r>
        <w:rPr>
          <w:rFonts w:ascii="Calibri" w:hAnsi="Calibri"/>
          <w:color w:val="1A202C"/>
          <w:sz w:val="22"/>
          <w:rtl w:val="1"/>
        </w:rPr>
        <w:t>تحديد المسؤولية واكتشاف المخالفات المتكررة ودعم القرارات التنظيمية.</w:t>
      </w:r>
      <w:r>
        <w:rPr>
          <w:rFonts w:ascii="Calibri" w:hAnsi="Calibri"/>
          <w:color w:val="B8956B"/>
          <w:sz w:val="22"/>
        </w:rPr>
        <w:t xml:space="preserve">  •</w:t>
      </w:r>
    </w:p>
    <w:p>
      <w:pPr>
        <w:pStyle w:val="Heading3"/>
        <w:spacing w:before="160" w:after="60"/>
        <w:jc w:val="right"/>
        <w:bidi w:val="1"/>
      </w:pPr>
      <w:r>
        <w:rPr>
          <w:rFonts w:ascii="Calibri" w:hAnsi="Calibri"/>
          <w:b/>
          <w:color w:val="2C5282"/>
          <w:sz w:val="24"/>
          <w:rtl w:val="1"/>
        </w:rPr>
        <w:t>القيمة للمنتفع</w:t>
      </w:r>
    </w:p>
    <w:p>
      <w:pPr>
        <w:spacing w:after="60"/>
        <w:ind w:right="504"/>
        <w:jc w:val="right"/>
        <w:bidi w:val="1"/>
      </w:pPr>
      <w:r>
        <w:rPr>
          <w:rFonts w:ascii="Calibri" w:hAnsi="Calibri"/>
          <w:color w:val="1A202C"/>
          <w:sz w:val="22"/>
          <w:rtl w:val="1"/>
        </w:rPr>
        <w:t>بلاغ سريع وإلغاء مركزي ومتابعة البلاغ.</w:t>
      </w:r>
      <w:r>
        <w:rPr>
          <w:rFonts w:ascii="Calibri" w:hAnsi="Calibri"/>
          <w:color w:val="B8956B"/>
          <w:sz w:val="22"/>
        </w:rPr>
        <w:t xml:space="preserve">  •</w:t>
      </w:r>
    </w:p>
    <w:p>
      <w:pPr>
        <w:spacing w:after="60"/>
        <w:ind w:right="504"/>
        <w:jc w:val="right"/>
        <w:bidi w:val="1"/>
      </w:pPr>
      <w:r>
        <w:rPr>
          <w:rFonts w:ascii="Calibri" w:hAnsi="Calibri"/>
          <w:color w:val="1A202C"/>
          <w:sz w:val="22"/>
          <w:rtl w:val="1"/>
        </w:rPr>
        <w:t>وضوح الإجراءات وتقليل الرسائل المزعجة وحماية أفضل للبيانات.</w:t>
      </w:r>
      <w:r>
        <w:rPr>
          <w:rFonts w:ascii="Calibri" w:hAnsi="Calibri"/>
          <w:color w:val="B8956B"/>
          <w:sz w:val="22"/>
        </w:rPr>
        <w:t xml:space="preserve">  •</w:t>
      </w:r>
    </w:p>
    <w:p>
      <w:pPr>
        <w:pStyle w:val="Heading3"/>
        <w:spacing w:before="160" w:after="60"/>
        <w:jc w:val="right"/>
        <w:bidi w:val="1"/>
      </w:pPr>
      <w:r>
        <w:rPr>
          <w:rFonts w:ascii="Calibri" w:hAnsi="Calibri"/>
          <w:b/>
          <w:color w:val="2C5282"/>
          <w:sz w:val="24"/>
          <w:rtl w:val="1"/>
        </w:rPr>
        <w:t>القيمة للجهات المرسلة</w:t>
      </w:r>
    </w:p>
    <w:p>
      <w:pPr>
        <w:spacing w:after="60"/>
        <w:ind w:right="504"/>
        <w:jc w:val="right"/>
        <w:bidi w:val="1"/>
      </w:pPr>
      <w:r>
        <w:rPr>
          <w:rFonts w:ascii="Calibri" w:hAnsi="Calibri"/>
          <w:color w:val="1A202C"/>
          <w:sz w:val="22"/>
          <w:rtl w:val="1"/>
        </w:rPr>
        <w:t>وضوح متطلبات الامتثال وتسجيل الموافقات وإثبات سلامة الحملات.</w:t>
      </w:r>
      <w:r>
        <w:rPr>
          <w:rFonts w:ascii="Calibri" w:hAnsi="Calibri"/>
          <w:color w:val="B8956B"/>
          <w:sz w:val="22"/>
        </w:rPr>
        <w:t xml:space="preserve">  •</w:t>
      </w:r>
    </w:p>
    <w:p>
      <w:pPr>
        <w:spacing w:after="60"/>
        <w:ind w:right="504"/>
        <w:jc w:val="right"/>
        <w:bidi w:val="1"/>
      </w:pPr>
      <w:r>
        <w:rPr>
          <w:rFonts w:ascii="Calibri" w:hAnsi="Calibri"/>
          <w:color w:val="1A202C"/>
          <w:sz w:val="22"/>
          <w:rtl w:val="1"/>
        </w:rPr>
        <w:t>تقليل المخاطر التنظيمية على الجهات الملتزمة.</w:t>
      </w:r>
      <w:r>
        <w:rPr>
          <w:rFonts w:ascii="Calibri" w:hAnsi="Calibri"/>
          <w:color w:val="B8956B"/>
          <w:sz w:val="22"/>
        </w:rPr>
        <w:t xml:space="preserve">  •</w:t>
      </w:r>
    </w:p>
    <w:p>
      <w:pPr>
        <w:pStyle w:val="Heading1"/>
        <w:spacing w:before="360" w:after="160"/>
        <w:jc w:val="right"/>
        <w:keepNext/>
        <w:bidi w:val="1"/>
        <w:pBdr>
          <w:bottom w:val="single" w:sz="12" w:space="6" w:color="B8956B"/>
        </w:pBdr>
      </w:pPr>
      <w:r>
        <w:rPr>
          <w:rFonts w:ascii="Calibri" w:hAnsi="Calibri"/>
          <w:b/>
          <w:color w:val="0A192F"/>
          <w:sz w:val="44"/>
          <w:rtl w:val="1"/>
        </w:rPr>
        <w:t>23. النموذج النهائي المقترح</w:t>
      </w:r>
    </w:p>
    <w:tbl>
      <w:tblPr>
        <w:tblW w:type="auto" w:w="0"/>
        <w:tblLook w:firstColumn="1" w:firstRow="1" w:lastColumn="0" w:lastRow="0" w:noHBand="0" w:noVBand="1" w:val="04A0"/>
      </w:tblPr>
      <w:tblGrid>
        <w:gridCol w:w="8640"/>
      </w:tblGrid>
      <w:tr>
        <w:tc>
          <w:tcPr>
            <w:tcW w:type="dxa" w:w="8640"/>
            <w:shd w:val="clear" w:color="auto" w:fill="ECFDF5"/>
            <w:tcBorders>
              <w:top w:val="single" w:sz="4" w:space="0" w:color="ECFDF5"/>
              <w:left w:val="single" w:sz="24" w:space="0" w:color="059669"/>
              <w:bottom w:val="single" w:sz="4" w:space="0" w:color="ECFDF5"/>
              <w:right w:val="single" w:sz="4" w:space="0" w:color="ECFDF5"/>
            </w:tcBorders>
          </w:tcPr>
          <w:p>
            <w:pPr>
              <w:spacing w:before="120" w:after="120"/>
              <w:jc w:val="right"/>
              <w:bidi w:val="1"/>
            </w:pPr>
            <w:r>
              <w:rPr>
                <w:rFonts w:ascii="Calibri" w:hAnsi="Calibri"/>
                <w:b/>
                <w:color w:val="059669"/>
                <w:sz w:val="18"/>
              </w:rPr>
              <w:t xml:space="preserve">TIP  </w:t>
            </w:r>
            <w:r>
              <w:rPr>
                <w:rFonts w:ascii="Calibri" w:hAnsi="Calibri"/>
                <w:color w:val="1A202C"/>
                <w:sz w:val="20"/>
                <w:rtl w:val="1"/>
              </w:rPr>
              <w:t>منصة وطنية ذكية لإدارة الرسائل الاقتحامية، تحوّل بيانات البلاغات والرسائل والموافقات وطلبات الإلغاء إلى منظومة رقابية متكاملة تساعد هيئة تنظيم الاتصالات على حماية المنتفعين، وتحديد مصادر المخالفات، وقياس مستوى الامتثال، واكتشاف الأنماط عالية الخطورة قبل توسعها.</w:t>
            </w:r>
          </w:p>
        </w:tc>
      </w:tr>
    </w:tbl>
    <w:p>
      <w:pPr>
        <w:spacing w:after="80"/>
      </w:pPr>
    </w:p>
    <w:p>
      <w:pPr>
        <w:spacing w:after="160" w:line="276" w:lineRule="auto"/>
        <w:jc w:val="right"/>
        <w:bidi w:val="1"/>
      </w:pPr>
      <w:r>
        <w:rPr>
          <w:rFonts w:ascii="Calibri" w:hAnsi="Calibri"/>
          <w:color w:val="1A202C"/>
          <w:sz w:val="22"/>
          <w:rtl w:val="1"/>
        </w:rPr>
        <w:t>المعادلة التشغيلية الجديدة: رسالة ← بيانات ← تحقق ← تصنيف ← درجة خطورة ← إنذار ← تحقيق ← إجراء ← قياس النتيجة.</w:t>
      </w:r>
    </w:p>
    <w:p>
      <w:pPr>
        <w:spacing w:after="160" w:line="276" w:lineRule="auto"/>
        <w:jc w:val="right"/>
        <w:bidi w:val="1"/>
      </w:pPr>
      <w:r>
        <w:rPr>
          <w:rFonts w:ascii="Calibri" w:hAnsi="Calibri"/>
          <w:color w:val="1A202C"/>
          <w:sz w:val="22"/>
          <w:rtl w:val="1"/>
        </w:rPr>
        <w:t>بدلاً من المعادلة التقليدية: رسالة ← شكوى ← معالجة منفردة.</w:t>
      </w:r>
    </w:p>
    <w:p>
      <w:r>
        <w:br w:type="page"/>
      </w:r>
    </w:p>
    <w:p>
      <w:pPr>
        <w:pStyle w:val="Heading1"/>
        <w:spacing w:before="360" w:after="160"/>
        <w:jc w:val="right"/>
        <w:keepNext/>
        <w:bidi w:val="1"/>
        <w:pBdr>
          <w:bottom w:val="single" w:sz="12" w:space="6" w:color="B8956B"/>
        </w:pBdr>
      </w:pPr>
      <w:r>
        <w:rPr>
          <w:rFonts w:ascii="Calibri" w:hAnsi="Calibri"/>
          <w:b/>
          <w:color w:val="0A192F"/>
          <w:sz w:val="44"/>
          <w:rtl w:val="1"/>
        </w:rPr>
        <w:t>24. الخلاصة المالية والتنفيذية</w:t>
      </w:r>
    </w:p>
    <w:p>
      <w:pPr>
        <w:spacing w:after="160" w:line="276" w:lineRule="auto"/>
        <w:jc w:val="right"/>
        <w:bidi w:val="1"/>
      </w:pPr>
      <w:r>
        <w:rPr>
          <w:rFonts w:ascii="Calibri" w:hAnsi="Calibri"/>
          <w:color w:val="1A202C"/>
          <w:sz w:val="22"/>
          <w:rtl w:val="1"/>
        </w:rPr>
        <w:t>الجدول التالي يلخص الفروق الجوهرية بين الوضع التقليدي والحل المقترح في المنصة:</w:t>
      </w:r>
    </w:p>
    <w:tbl>
      <w:tblPr>
        <w:tblStyle w:val="TableGrid"/>
        <w:tblW w:type="auto" w:w="0"/>
        <w:tblLayout w:type="autofit"/>
        <w:tblLook w:firstColumn="1" w:firstRow="1" w:lastColumn="0" w:lastRow="0" w:noHBand="0" w:noVBand="1" w:val="04A0"/>
      </w:tblPr>
      <w:tblGrid>
        <w:gridCol w:w="2880"/>
        <w:gridCol w:w="2880"/>
        <w:gridCol w:w="2880"/>
      </w:tblGrid>
      <w:tr>
        <w:tc>
          <w:tcPr>
            <w:tcW w:type="dxa" w:w="288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السؤال</w:t>
            </w:r>
          </w:p>
        </w:tc>
        <w:tc>
          <w:tcPr>
            <w:tcW w:type="dxa" w:w="288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الوضع التقليدي</w:t>
            </w:r>
          </w:p>
        </w:tc>
        <w:tc>
          <w:tcPr>
            <w:tcW w:type="dxa" w:w="288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الحل في المنصة</w:t>
            </w:r>
          </w:p>
        </w:tc>
      </w:tr>
      <w:tr>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هل وافق المنتفع؟</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يصعب التحقق</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سجل موافقة إلكتروني</w:t>
            </w:r>
          </w:p>
        </w:tc>
      </w:tr>
      <w:tr>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من أرسل الرسالة؟</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قد يظهر رقم فقط</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ربط المصدر بالجهة</w:t>
            </w:r>
          </w:p>
        </w:tc>
      </w:tr>
      <w:tr>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من المستفيد من الحملة؟</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قد يكون غير واضح</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سجل الجهة المستفيدة</w:t>
            </w:r>
          </w:p>
        </w:tc>
      </w:tr>
      <w:tr>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هل طلب المنتفع الإلغاء؟</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يحتاج إثباتاً</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سجل مركزي للإلغاء</w:t>
            </w:r>
          </w:p>
        </w:tc>
      </w:tr>
      <w:tr>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هل استمرت الرسائل بعد الإلغاء؟</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معالجة يدوية</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رصد آلي</w:t>
            </w:r>
          </w:p>
        </w:tc>
      </w:tr>
      <w:tr>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هل المصدر يكرر المخالفة؟</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صعب اكتشافه</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سجل تاريخي للمصدر</w:t>
            </w:r>
          </w:p>
        </w:tc>
      </w:tr>
      <w:tr>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هل هناك شكاوى متعددة؟</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كل شكوى منفصلة</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تجميع البلاغات</w:t>
            </w:r>
          </w:p>
        </w:tc>
      </w:tr>
      <w:tr>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ما أكثر الجهات مخالفة؟</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تحتاج تحليلاً</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لوحة مؤشرات</w:t>
            </w:r>
          </w:p>
        </w:tc>
      </w:tr>
      <w:tr>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هل المصدر عالي الخطورة؟</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لا يوجد مؤشر موحد</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pPr>
            <w:r/>
            <w:r>
              <w:rPr>
                <w:rFonts w:ascii="Calibri" w:hAnsi="Calibri"/>
                <w:color w:val="1A202C"/>
                <w:sz w:val="20"/>
              </w:rPr>
              <w:t>Risk Score</w:t>
            </w:r>
          </w:p>
        </w:tc>
      </w:tr>
      <w:tr>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هل توجد حملة واسعة المخالفة؟</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قد تكتشف متأخراً</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نظام إنذار مبكر</w:t>
            </w:r>
          </w:p>
        </w:tc>
      </w:tr>
    </w:tbl>
    <w:p>
      <w:pPr>
        <w:spacing w:after="120"/>
      </w:pPr>
    </w:p>
    <w:p>
      <w:pPr>
        <w:pStyle w:val="Heading1"/>
        <w:spacing w:before="360" w:after="160"/>
        <w:jc w:val="right"/>
        <w:keepNext/>
        <w:bidi w:val="1"/>
        <w:pBdr>
          <w:bottom w:val="single" w:sz="12" w:space="6" w:color="B8956B"/>
        </w:pBdr>
      </w:pPr>
      <w:r>
        <w:rPr>
          <w:rFonts w:ascii="Calibri" w:hAnsi="Calibri"/>
          <w:b/>
          <w:color w:val="0A192F"/>
          <w:sz w:val="44"/>
          <w:rtl w:val="1"/>
        </w:rPr>
        <w:t>25. بطاقة المشروع</w:t>
      </w:r>
    </w:p>
    <w:tbl>
      <w:tblPr>
        <w:tblStyle w:val="TableGrid"/>
        <w:tblW w:type="auto" w:w="0"/>
        <w:tblLayout w:type="autofit"/>
        <w:tblLook w:firstColumn="1" w:firstRow="1" w:lastColumn="0" w:lastRow="0" w:noHBand="0" w:noVBand="1" w:val="04A0"/>
      </w:tblPr>
      <w:tblGrid>
        <w:gridCol w:w="4320"/>
        <w:gridCol w:w="4320"/>
      </w:tblGrid>
      <w:tr>
        <w:tc>
          <w:tcPr>
            <w:tcW w:type="dxa" w:w="432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العنصر</w:t>
            </w:r>
          </w:p>
        </w:tc>
        <w:tc>
          <w:tcPr>
            <w:tcW w:type="dxa" w:w="432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المقترح</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اسم المشروع</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المنصة الوطنية لمكافحة الرسائل الاقتحامية</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الجهة المستفيدة</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هيئة تنظيم الاتصالات</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مدة التنفيذ</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3 أشهر</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إجمالي الميزانية</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78,000 ريال عماني</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عدد المراحل</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pPr>
            <w:r/>
            <w:r>
              <w:rPr>
                <w:rFonts w:ascii="Calibri" w:hAnsi="Calibri"/>
                <w:color w:val="1A202C"/>
                <w:sz w:val="20"/>
              </w:rPr>
              <w:t>3</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الشهر الأول</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تحليل وتصميم</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الشهر الثاني</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تطوير وتكامل</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الشهر الثالث</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اختبار وإطلاق</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نموذج التشغيل</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منصة مركزية</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المستفيدون</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الهيئة، شركات الاتصالات، الجهات المرسلة، المنتفعون</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التقنية</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pPr>
            <w:r/>
            <w:r>
              <w:rPr>
                <w:rFonts w:ascii="Calibri" w:hAnsi="Calibri"/>
                <w:color w:val="1A202C"/>
                <w:sz w:val="20"/>
              </w:rPr>
              <w:t>Web + Database + API + Analytics</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الذكاء الاصطناعي</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تهيئة للمرحلة الأولى والتوسع لاحقاً</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أهم مخرج</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نظام رقابي قائم على البيانات وليس مجرد نظام شكاوى</w:t>
            </w:r>
          </w:p>
        </w:tc>
      </w:tr>
    </w:tbl>
    <w:p>
      <w:pPr>
        <w:spacing w:after="120"/>
      </w:pPr>
    </w:p>
    <w:p>
      <w:pPr>
        <w:pBdr>
          <w:bottom w:val="single" w:sz="6" w:space="1" w:color="B8956B"/>
        </w:pBdr>
        <w:spacing w:before="160" w:after="160"/>
      </w:pPr>
    </w:p>
    <w:p>
      <w:pPr>
        <w:spacing w:after="160" w:line="276" w:lineRule="auto"/>
        <w:jc w:val="right"/>
        <w:bidi w:val="1"/>
      </w:pPr>
      <w:r>
        <w:rPr>
          <w:rFonts w:ascii="Calibri" w:hAnsi="Calibri"/>
          <w:color w:val="1A202C"/>
          <w:sz w:val="22"/>
          <w:rtl w:val="1"/>
        </w:rPr>
        <w:t>أُعد هذا التصور الأولي ليكون مرجعاً موحداً لمناقشة التصميم والاعتماد، على أن تُعتمد الدرجات والتصنيفات والمؤشرات المقترحة فيه لاحقاً من الجهات المختصة في الهيئة.</w:t>
      </w:r>
    </w:p>
    <w:sectPr w:rsidR="00FC693F" w:rsidRPr="0006063C" w:rsidSect="00034616">
      <w:headerReference w:type="default" r:id="rId9"/>
      <w:footerReference w:type="default" r:id="rId11"/>
      <w:pgSz w:w="12240" w:h="15840"/>
      <w:pgMar w:top="1584" w:right="1800" w:bottom="1296"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Bdr>
        <w:top w:val="single" w:sz="6" w:space="4" w:color="C9A227"/>
      </w:pBdr>
    </w:pPr>
    <w:r>
      <w:rPr>
        <w:rFonts w:ascii="Arial" w:hAnsi="Arial"/>
        <w:color w:val="595959"/>
        <w:sz w:val="16"/>
        <w:rtl/>
      </w:rPr>
      <w:t xml:space="preserve">المنصة الوطنية لمكافحة الرسائل الاقتحامية  |  الصفحة </w:t>
    </w:r>
    <w:r>
      <w:rPr>
        <w:rFonts w:ascii="Arial" w:hAnsi="Arial"/>
        <w:color w:val="595959"/>
        <w:sz w:val="16"/>
      </w:rPr>
      <w:fldChar w:fldCharType="begin"/>
      <w:instrText xml:space="preserve">PAGE</w:instrText>
      <w:fldChar w:fldCharType="end"/>
    </w:r>
    <w:r>
      <w:rPr>
        <w:rFonts w:ascii="Arial" w:hAnsi="Arial"/>
        <w:color w:val="595959"/>
        <w:sz w:val="16"/>
        <w:rtl/>
      </w:rPr>
      <w:t xml:space="preserve">  من </w:t>
    </w:r>
    <w:r>
      <w:rPr>
        <w:rFonts w:ascii="Arial" w:hAnsi="Arial"/>
        <w:color w:val="595959"/>
        <w:sz w:val="16"/>
      </w:rP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right"/>
      <w:bidi/>
    </w:pPr>
    <w:r>
      <w:drawing>
        <wp:inline xmlns:a="http://schemas.openxmlformats.org/drawingml/2006/main" xmlns:pic="http://schemas.openxmlformats.org/drawingml/2006/picture">
          <wp:extent cx="1262503" cy="384048"/>
          <wp:docPr id="1" name="Picture 1"/>
          <wp:cNvGraphicFramePr>
            <a:graphicFrameLocks noChangeAspect="1"/>
          </wp:cNvGraphicFramePr>
          <a:graphic>
            <a:graphicData uri="http://schemas.openxmlformats.org/drawingml/2006/picture">
              <pic:pic>
                <pic:nvPicPr>
                  <pic:cNvPr id="0" name="tra_logo_official.png"/>
                  <pic:cNvPicPr/>
                </pic:nvPicPr>
                <pic:blipFill>
                  <a:blip r:embed="rId1"/>
                  <a:stretch>
                    <a:fillRect/>
                  </a:stretch>
                </pic:blipFill>
                <pic:spPr>
                  <a:xfrm>
                    <a:off x="0" y="0"/>
                    <a:ext cx="1262503" cy="384048"/>
                  </a:xfrm>
                  <a:prstGeom prst="rect"/>
                </pic:spPr>
              </pic:pic>
            </a:graphicData>
          </a:graphic>
        </wp:inline>
      </w:drawing>
    </w:r>
    <w:r>
      <w:rPr>
        <w:rtl/>
      </w:rPr>
      <w:t xml:space="preserve">  </w:t>
    </w:r>
    <w:r>
      <w:rPr>
        <w:rFonts w:ascii="Arial" w:hAnsi="Arial"/>
        <w:b/>
        <w:color w:val="1F3663"/>
        <w:sz w:val="20"/>
        <w:rtl/>
      </w:rPr>
      <w:t>هيئة تنظيم الاتصالات – سلطنة عُمان</w:t>
    </w:r>
  </w:p>
  <w:p>
    <w:pPr>
      <w:spacing w:before="40" w:after="80"/>
      <w:jc w:val="right"/>
      <w:bidi/>
      <w:pBdr>
        <w:bottom w:val="single" w:sz="14" w:space="6" w:color="C9A227"/>
      </w:pBdr>
    </w:pPr>
    <w:r>
      <w:rPr>
        <w:rFonts w:ascii="Arial" w:hAnsi="Arial"/>
        <w:color w:val="8A7A2E"/>
        <w:sz w:val="17"/>
        <w:rtl/>
      </w:rPr>
      <w:t>المنصة الوطنية لإدارة ومكافحة الرسائل الاقتحامية – Oman Anti-SPAM Platform</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